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4BA" w:rsidRDefault="00D91481">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19" name="Rectangle 19"/>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8624BA" w:rsidRDefault="008624B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9"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X8KGgOQBAACtAwAADgAAAAAAAAAAAAAAAAAuAgAAZHJzL2Uyb0RvYy54bWxQSwEC&#10;LQAUAAYACAAAACEAPKF55t4AAAAMAQAADwAAAAAAAAAAAAAAAAA+BAAAZHJzL2Rvd25yZXYueG1s&#10;UEsFBgAAAAAEAAQA8wAAAEkFAAAAAA==&#10;" fillcolor="#73c130" stroked="f">
                <v:textbox inset="2.53958mm,2.53958mm,2.53958mm,2.53958mm">
                  <w:txbxContent>
                    <w:p w:rsidR="008624BA" w:rsidRDefault="008624BA">
                      <w:pPr>
                        <w:spacing w:after="0" w:line="240" w:lineRule="auto"/>
                        <w:textDirection w:val="btLr"/>
                      </w:pPr>
                    </w:p>
                  </w:txbxContent>
                </v:textbox>
              </v:rect>
            </w:pict>
          </mc:Fallback>
        </mc:AlternateContent>
      </w:r>
    </w:p>
    <w:p w:rsidR="008624BA" w:rsidRDefault="000635A5">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-638175</wp:posOffset>
                </wp:positionH>
                <wp:positionV relativeFrom="paragraph">
                  <wp:posOffset>189230</wp:posOffset>
                </wp:positionV>
                <wp:extent cx="7296785" cy="3209925"/>
                <wp:effectExtent l="0" t="0" r="0" b="9525"/>
                <wp:wrapSquare wrapText="bothSides" distT="0" distB="0" distL="114300" distR="114300"/>
                <wp:docPr id="20" name="Rectangle 20"/>
                <wp:cNvGraphicFramePr/>
                <a:graphic xmlns:a="http://schemas.openxmlformats.org/drawingml/2006/main">
                  <a:graphicData uri="http://schemas.microsoft.com/office/word/2010/wordprocessingShape">
                    <wps:wsp>
                      <wps:cNvSpPr/>
                      <wps:spPr>
                        <a:xfrm>
                          <a:off x="0" y="0"/>
                          <a:ext cx="7296785" cy="3209925"/>
                        </a:xfrm>
                        <a:prstGeom prst="rect">
                          <a:avLst/>
                        </a:prstGeom>
                        <a:solidFill>
                          <a:srgbClr val="4E5992"/>
                        </a:solidFill>
                        <a:ln>
                          <a:noFill/>
                        </a:ln>
                      </wps:spPr>
                      <wps:txbx>
                        <w:txbxContent>
                          <w:p w:rsidR="000635A5" w:rsidRDefault="000635A5" w:rsidP="00061DD4">
                            <w:pPr>
                              <w:spacing w:after="0" w:line="240" w:lineRule="auto"/>
                              <w:ind w:right="-720"/>
                              <w:textDirection w:val="btLr"/>
                              <w:rPr>
                                <w:rFonts w:ascii="Arial" w:eastAsia="Arial" w:hAnsi="Arial" w:cs="Arial"/>
                                <w:b/>
                                <w:color w:val="FFFFFF"/>
                                <w:sz w:val="20"/>
                              </w:rPr>
                            </w:pPr>
                          </w:p>
                          <w:p w:rsidR="008624BA" w:rsidRDefault="00D91481">
                            <w:pPr>
                              <w:spacing w:line="240" w:lineRule="auto"/>
                              <w:ind w:right="-720"/>
                              <w:textDirection w:val="btLr"/>
                            </w:pPr>
                            <w:r>
                              <w:rPr>
                                <w:rFonts w:ascii="Arial" w:eastAsia="Arial" w:hAnsi="Arial" w:cs="Arial"/>
                                <w:b/>
                                <w:color w:val="FFFFFF"/>
                                <w:sz w:val="20"/>
                              </w:rPr>
                              <w:t>This part of the Navigator Playbook is completed when you have:</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Developed one or more energy performance indicators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for your organization. If relevant variables significantly affect energy consumption, normalized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Developed an energy baseline (</w:t>
                            </w:r>
                            <w:proofErr w:type="spellStart"/>
                            <w:r w:rsidRPr="000635A5">
                              <w:rPr>
                                <w:rFonts w:ascii="Arial" w:eastAsia="Arial" w:hAnsi="Arial" w:cs="Arial"/>
                                <w:b/>
                                <w:color w:val="FFFFFF"/>
                                <w:sz w:val="20"/>
                              </w:rPr>
                              <w:t>EnB</w:t>
                            </w:r>
                            <w:proofErr w:type="spellEnd"/>
                            <w:r w:rsidRPr="000635A5">
                              <w:rPr>
                                <w:rFonts w:ascii="Arial" w:eastAsia="Arial" w:hAnsi="Arial" w:cs="Arial"/>
                                <w:b/>
                                <w:color w:val="FFFFFF"/>
                                <w:sz w:val="20"/>
                              </w:rPr>
                              <w:t xml:space="preserve">) for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in order to later determine energy performance improvement.</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Communicated proposed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to top management so they can ensure the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are appropriate for the organization.</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Recorded and regularly reviewed the method used to determine and update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established the conditions under which adjustments to the baseline(s) will be made.</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Compared </w:t>
                            </w:r>
                            <w:proofErr w:type="spellStart"/>
                            <w:r w:rsidRPr="000635A5">
                              <w:rPr>
                                <w:rFonts w:ascii="Arial" w:eastAsia="Arial" w:hAnsi="Arial" w:cs="Arial"/>
                                <w:b/>
                                <w:color w:val="FFFFFF"/>
                                <w:sz w:val="20"/>
                              </w:rPr>
                              <w:t>EnPI</w:t>
                            </w:r>
                            <w:proofErr w:type="spellEnd"/>
                            <w:r w:rsidRPr="000635A5">
                              <w:rPr>
                                <w:rFonts w:ascii="Arial" w:eastAsia="Arial" w:hAnsi="Arial" w:cs="Arial"/>
                                <w:b/>
                                <w:color w:val="FFFFFF"/>
                                <w:sz w:val="20"/>
                              </w:rPr>
                              <w:t xml:space="preserve"> values to their respective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on a regular basis.</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Implemented a process for ongoing monitoring, measurement and analysis of your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and energy performance improvement.</w:t>
                            </w:r>
                          </w:p>
                          <w:p w:rsidR="008624BA" w:rsidRDefault="008624BA">
                            <w:pPr>
                              <w:spacing w:after="0" w:line="240" w:lineRule="auto"/>
                              <w:ind w:right="-143"/>
                              <w:textDirection w:val="btLr"/>
                            </w:pPr>
                          </w:p>
                          <w:p w:rsidR="008624BA" w:rsidRPr="000635A5" w:rsidRDefault="00D91481" w:rsidP="000635A5">
                            <w:pPr>
                              <w:pStyle w:val="ListParagraph"/>
                              <w:numPr>
                                <w:ilvl w:val="0"/>
                                <w:numId w:val="4"/>
                              </w:numPr>
                              <w:spacing w:line="240" w:lineRule="auto"/>
                              <w:ind w:left="720" w:right="-150"/>
                              <w:textDirection w:val="btLr"/>
                              <w:rPr>
                                <w:color w:val="FFFFFF" w:themeColor="background1"/>
                              </w:rPr>
                            </w:pPr>
                            <w:r w:rsidRPr="000635A5">
                              <w:rPr>
                                <w:rFonts w:ascii="Arial" w:eastAsia="Arial" w:hAnsi="Arial" w:cs="Arial"/>
                                <w:b/>
                                <w:color w:val="FFFFFF" w:themeColor="background1"/>
                                <w:sz w:val="20"/>
                              </w:rPr>
                              <w:t xml:space="preserve">If you are planning on seeking U.S. DOE 50001 Ready recognition for this project please refer to the, “Get Ready Recognized,” page of the 50001 Ready Navigator to ensure you select an </w:t>
                            </w:r>
                            <w:proofErr w:type="spellStart"/>
                            <w:r w:rsidRPr="000635A5">
                              <w:rPr>
                                <w:rFonts w:ascii="Arial" w:eastAsia="Arial" w:hAnsi="Arial" w:cs="Arial"/>
                                <w:b/>
                                <w:color w:val="FFFFFF" w:themeColor="background1"/>
                                <w:sz w:val="20"/>
                              </w:rPr>
                              <w:t>EnPI</w:t>
                            </w:r>
                            <w:proofErr w:type="spellEnd"/>
                            <w:r w:rsidRPr="000635A5">
                              <w:rPr>
                                <w:rFonts w:ascii="Arial" w:eastAsia="Arial" w:hAnsi="Arial" w:cs="Arial"/>
                                <w:b/>
                                <w:color w:val="FFFFFF" w:themeColor="background1"/>
                                <w:sz w:val="20"/>
                              </w:rPr>
                              <w:t xml:space="preserve">, </w:t>
                            </w:r>
                            <w:proofErr w:type="spellStart"/>
                            <w:r w:rsidRPr="000635A5">
                              <w:rPr>
                                <w:rFonts w:ascii="Arial" w:eastAsia="Arial" w:hAnsi="Arial" w:cs="Arial"/>
                                <w:b/>
                                <w:color w:val="FFFFFF" w:themeColor="background1"/>
                                <w:sz w:val="20"/>
                              </w:rPr>
                              <w:t>EnB</w:t>
                            </w:r>
                            <w:proofErr w:type="spellEnd"/>
                            <w:r w:rsidRPr="000635A5">
                              <w:rPr>
                                <w:rFonts w:ascii="Arial" w:eastAsia="Arial" w:hAnsi="Arial" w:cs="Arial"/>
                                <w:b/>
                                <w:color w:val="FFFFFF" w:themeColor="background1"/>
                                <w:sz w:val="20"/>
                              </w:rPr>
                              <w:t>, and method for demonstrating energy performance improvement allowed by the recognition program. To achieve Ready recognition energy performance improvement is demonstrated for the same scope and boundaries as your 50001 Ready EnMS.</w:t>
                            </w:r>
                          </w:p>
                          <w:p w:rsidR="008624BA" w:rsidRDefault="008624BA">
                            <w:pPr>
                              <w:spacing w:line="240" w:lineRule="auto"/>
                              <w:ind w:right="-150"/>
                              <w:textDirection w:val="btLr"/>
                            </w:pPr>
                          </w:p>
                          <w:p w:rsidR="008624BA" w:rsidRDefault="008624BA">
                            <w:pPr>
                              <w:spacing w:line="240" w:lineRule="auto"/>
                              <w:ind w:right="-150"/>
                              <w:textDirection w:val="btLr"/>
                            </w:pPr>
                          </w:p>
                          <w:p w:rsidR="008624BA" w:rsidRDefault="008624BA">
                            <w:pPr>
                              <w:spacing w:line="240" w:lineRule="auto"/>
                              <w:ind w:left="-810" w:right="-720" w:hanging="81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20" o:spid="_x0000_s1027" style="position:absolute;left:0;text-align:left;margin-left:-50.25pt;margin-top:14.9pt;width:574.5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" fillcolor="#4e5992" stroked="f">
                <v:textbox inset="2.53958mm,1.2694mm,2.53958mm,1.2694mm">
                  <w:txbxContent>
                    <w:p w:rsidR="000635A5" w:rsidRDefault="000635A5" w:rsidP="00061DD4">
                      <w:pPr>
                        <w:spacing w:after="0" w:line="240" w:lineRule="auto"/>
                        <w:ind w:right="-720"/>
                        <w:textDirection w:val="btLr"/>
                        <w:rPr>
                          <w:rFonts w:ascii="Arial" w:eastAsia="Arial" w:hAnsi="Arial" w:cs="Arial"/>
                          <w:b/>
                          <w:color w:val="FFFFFF"/>
                          <w:sz w:val="20"/>
                        </w:rPr>
                      </w:pPr>
                    </w:p>
                    <w:p w:rsidR="008624BA" w:rsidRDefault="00D91481">
                      <w:pPr>
                        <w:spacing w:line="240" w:lineRule="auto"/>
                        <w:ind w:right="-720"/>
                        <w:textDirection w:val="btLr"/>
                      </w:pPr>
                      <w:r>
                        <w:rPr>
                          <w:rFonts w:ascii="Arial" w:eastAsia="Arial" w:hAnsi="Arial" w:cs="Arial"/>
                          <w:b/>
                          <w:color w:val="FFFFFF"/>
                          <w:sz w:val="20"/>
                        </w:rPr>
                        <w:t>This part of the Navigator Playbook is completed when you have:</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Developed one or more energy performance indicators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for your organization. If relevant variables significantly affect energy consumption, normalized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Developed an energy baseline (</w:t>
                      </w:r>
                      <w:proofErr w:type="spellStart"/>
                      <w:r w:rsidRPr="000635A5">
                        <w:rPr>
                          <w:rFonts w:ascii="Arial" w:eastAsia="Arial" w:hAnsi="Arial" w:cs="Arial"/>
                          <w:b/>
                          <w:color w:val="FFFFFF"/>
                          <w:sz w:val="20"/>
                        </w:rPr>
                        <w:t>EnB</w:t>
                      </w:r>
                      <w:proofErr w:type="spellEnd"/>
                      <w:r w:rsidRPr="000635A5">
                        <w:rPr>
                          <w:rFonts w:ascii="Arial" w:eastAsia="Arial" w:hAnsi="Arial" w:cs="Arial"/>
                          <w:b/>
                          <w:color w:val="FFFFFF"/>
                          <w:sz w:val="20"/>
                        </w:rPr>
                        <w:t xml:space="preserve">) for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in order to later determine energy performance improvement.</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Communicated proposed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to top management so they can ensure the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are appropriate for the organization.</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Recorded and regularly reviewed the method used to determine and update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and established the conditions under which adjustments to the baseline(s) will be made.</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Compared </w:t>
                      </w:r>
                      <w:proofErr w:type="spellStart"/>
                      <w:r w:rsidRPr="000635A5">
                        <w:rPr>
                          <w:rFonts w:ascii="Arial" w:eastAsia="Arial" w:hAnsi="Arial" w:cs="Arial"/>
                          <w:b/>
                          <w:color w:val="FFFFFF"/>
                          <w:sz w:val="20"/>
                        </w:rPr>
                        <w:t>EnPI</w:t>
                      </w:r>
                      <w:proofErr w:type="spellEnd"/>
                      <w:r w:rsidRPr="000635A5">
                        <w:rPr>
                          <w:rFonts w:ascii="Arial" w:eastAsia="Arial" w:hAnsi="Arial" w:cs="Arial"/>
                          <w:b/>
                          <w:color w:val="FFFFFF"/>
                          <w:sz w:val="20"/>
                        </w:rPr>
                        <w:t xml:space="preserve"> values to their respective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xml:space="preserve"> on a regular basis.</w:t>
                      </w:r>
                    </w:p>
                    <w:p w:rsidR="008624BA" w:rsidRDefault="00D91481" w:rsidP="000635A5">
                      <w:pPr>
                        <w:pStyle w:val="ListParagraph"/>
                        <w:numPr>
                          <w:ilvl w:val="0"/>
                          <w:numId w:val="3"/>
                        </w:numPr>
                        <w:spacing w:line="240" w:lineRule="auto"/>
                        <w:ind w:left="720" w:right="-150"/>
                        <w:textDirection w:val="btLr"/>
                      </w:pPr>
                      <w:r w:rsidRPr="000635A5">
                        <w:rPr>
                          <w:rFonts w:ascii="Arial" w:eastAsia="Arial" w:hAnsi="Arial" w:cs="Arial"/>
                          <w:b/>
                          <w:color w:val="FFFFFF"/>
                          <w:sz w:val="20"/>
                        </w:rPr>
                        <w:t xml:space="preserve">Implemented a process for ongoing monitoring, measurement and analysis of your </w:t>
                      </w:r>
                      <w:proofErr w:type="spellStart"/>
                      <w:r w:rsidRPr="000635A5">
                        <w:rPr>
                          <w:rFonts w:ascii="Arial" w:eastAsia="Arial" w:hAnsi="Arial" w:cs="Arial"/>
                          <w:b/>
                          <w:color w:val="FFFFFF"/>
                          <w:sz w:val="20"/>
                        </w:rPr>
                        <w:t>EnPIs</w:t>
                      </w:r>
                      <w:proofErr w:type="spellEnd"/>
                      <w:r w:rsidRPr="000635A5">
                        <w:rPr>
                          <w:rFonts w:ascii="Arial" w:eastAsia="Arial" w:hAnsi="Arial" w:cs="Arial"/>
                          <w:b/>
                          <w:color w:val="FFFFFF"/>
                          <w:sz w:val="20"/>
                        </w:rPr>
                        <w:t xml:space="preserve">, </w:t>
                      </w:r>
                      <w:proofErr w:type="spellStart"/>
                      <w:r w:rsidRPr="000635A5">
                        <w:rPr>
                          <w:rFonts w:ascii="Arial" w:eastAsia="Arial" w:hAnsi="Arial" w:cs="Arial"/>
                          <w:b/>
                          <w:color w:val="FFFFFF"/>
                          <w:sz w:val="20"/>
                        </w:rPr>
                        <w:t>EnBs</w:t>
                      </w:r>
                      <w:proofErr w:type="spellEnd"/>
                      <w:r w:rsidRPr="000635A5">
                        <w:rPr>
                          <w:rFonts w:ascii="Arial" w:eastAsia="Arial" w:hAnsi="Arial" w:cs="Arial"/>
                          <w:b/>
                          <w:color w:val="FFFFFF"/>
                          <w:sz w:val="20"/>
                        </w:rPr>
                        <w:t>, and energy performance improvement.</w:t>
                      </w:r>
                    </w:p>
                    <w:p w:rsidR="008624BA" w:rsidRDefault="008624BA">
                      <w:pPr>
                        <w:spacing w:after="0" w:line="240" w:lineRule="auto"/>
                        <w:ind w:right="-143"/>
                        <w:textDirection w:val="btLr"/>
                      </w:pPr>
                    </w:p>
                    <w:p w:rsidR="008624BA" w:rsidRPr="000635A5" w:rsidRDefault="00D91481" w:rsidP="000635A5">
                      <w:pPr>
                        <w:pStyle w:val="ListParagraph"/>
                        <w:numPr>
                          <w:ilvl w:val="0"/>
                          <w:numId w:val="4"/>
                        </w:numPr>
                        <w:spacing w:line="240" w:lineRule="auto"/>
                        <w:ind w:left="720" w:right="-150"/>
                        <w:textDirection w:val="btLr"/>
                        <w:rPr>
                          <w:color w:val="FFFFFF" w:themeColor="background1"/>
                        </w:rPr>
                      </w:pPr>
                      <w:r w:rsidRPr="000635A5">
                        <w:rPr>
                          <w:rFonts w:ascii="Arial" w:eastAsia="Arial" w:hAnsi="Arial" w:cs="Arial"/>
                          <w:b/>
                          <w:color w:val="FFFFFF" w:themeColor="background1"/>
                          <w:sz w:val="20"/>
                        </w:rPr>
                        <w:t xml:space="preserve">If you are planning on seeking U.S. DOE 50001 Ready recognition for this project please refer to the, “Get Ready Recognized,” page of the 50001 Ready Navigator to ensure you select an </w:t>
                      </w:r>
                      <w:proofErr w:type="spellStart"/>
                      <w:r w:rsidRPr="000635A5">
                        <w:rPr>
                          <w:rFonts w:ascii="Arial" w:eastAsia="Arial" w:hAnsi="Arial" w:cs="Arial"/>
                          <w:b/>
                          <w:color w:val="FFFFFF" w:themeColor="background1"/>
                          <w:sz w:val="20"/>
                        </w:rPr>
                        <w:t>EnPI</w:t>
                      </w:r>
                      <w:proofErr w:type="spellEnd"/>
                      <w:r w:rsidRPr="000635A5">
                        <w:rPr>
                          <w:rFonts w:ascii="Arial" w:eastAsia="Arial" w:hAnsi="Arial" w:cs="Arial"/>
                          <w:b/>
                          <w:color w:val="FFFFFF" w:themeColor="background1"/>
                          <w:sz w:val="20"/>
                        </w:rPr>
                        <w:t xml:space="preserve">, </w:t>
                      </w:r>
                      <w:proofErr w:type="spellStart"/>
                      <w:r w:rsidRPr="000635A5">
                        <w:rPr>
                          <w:rFonts w:ascii="Arial" w:eastAsia="Arial" w:hAnsi="Arial" w:cs="Arial"/>
                          <w:b/>
                          <w:color w:val="FFFFFF" w:themeColor="background1"/>
                          <w:sz w:val="20"/>
                        </w:rPr>
                        <w:t>EnB</w:t>
                      </w:r>
                      <w:proofErr w:type="spellEnd"/>
                      <w:r w:rsidRPr="000635A5">
                        <w:rPr>
                          <w:rFonts w:ascii="Arial" w:eastAsia="Arial" w:hAnsi="Arial" w:cs="Arial"/>
                          <w:b/>
                          <w:color w:val="FFFFFF" w:themeColor="background1"/>
                          <w:sz w:val="20"/>
                        </w:rPr>
                        <w:t>, and method for demonstrating energy performance improvement allowed by the recognition program. To achieve Ready recognition energy performance improvement is demonstrated for the same scope and boundaries as your 50001 Ready EnMS.</w:t>
                      </w:r>
                    </w:p>
                    <w:p w:rsidR="008624BA" w:rsidRDefault="008624BA">
                      <w:pPr>
                        <w:spacing w:line="240" w:lineRule="auto"/>
                        <w:ind w:right="-150"/>
                        <w:textDirection w:val="btLr"/>
                      </w:pPr>
                    </w:p>
                    <w:p w:rsidR="008624BA" w:rsidRDefault="008624BA">
                      <w:pPr>
                        <w:spacing w:line="240" w:lineRule="auto"/>
                        <w:ind w:right="-150"/>
                        <w:textDirection w:val="btLr"/>
                      </w:pPr>
                    </w:p>
                    <w:p w:rsidR="008624BA" w:rsidRDefault="008624BA">
                      <w:pPr>
                        <w:spacing w:line="240" w:lineRule="auto"/>
                        <w:ind w:left="-810" w:right="-720" w:hanging="810"/>
                        <w:textDirection w:val="btLr"/>
                      </w:pPr>
                    </w:p>
                  </w:txbxContent>
                </v:textbox>
                <w10:wrap type="square"/>
              </v:rect>
            </w:pict>
          </mc:Fallback>
        </mc:AlternateContent>
      </w:r>
      <w:r w:rsidR="00D91481">
        <w:rPr>
          <w:rFonts w:ascii="Arial" w:eastAsia="Arial" w:hAnsi="Arial" w:cs="Arial"/>
          <w:b/>
          <w:color w:val="000000"/>
          <w:sz w:val="21"/>
          <w:szCs w:val="21"/>
        </w:rPr>
        <w:t xml:space="preserve">Who last modified/updated: </w:t>
      </w:r>
      <w:r w:rsidR="00D91481">
        <w:rPr>
          <w:color w:val="808080"/>
        </w:rPr>
        <w:t>Click here to enter text.</w:t>
      </w:r>
      <w:r w:rsidR="00D91481">
        <w:rPr>
          <w:rFonts w:ascii="Arial" w:eastAsia="Arial" w:hAnsi="Arial" w:cs="Arial"/>
          <w:b/>
          <w:color w:val="000000"/>
          <w:sz w:val="21"/>
          <w:szCs w:val="21"/>
        </w:rPr>
        <w:t xml:space="preserve">               Management review: </w:t>
      </w:r>
      <w:r w:rsidR="00D91481">
        <w:rPr>
          <w:color w:val="808080"/>
        </w:rPr>
        <w:t>Click here to enter a date.</w:t>
      </w:r>
    </w:p>
    <w:p w:rsidR="008624BA" w:rsidRDefault="008624BA">
      <w:pPr>
        <w:spacing w:line="240" w:lineRule="auto"/>
        <w:ind w:left="-810" w:right="-720"/>
        <w:rPr>
          <w:rFonts w:ascii="Arial" w:eastAsia="Arial" w:hAnsi="Arial" w:cs="Arial"/>
          <w:color w:val="000000"/>
          <w:sz w:val="20"/>
          <w:szCs w:val="20"/>
        </w:rPr>
      </w:pPr>
    </w:p>
    <w:p w:rsidR="008624BA" w:rsidRDefault="00D91481">
      <w:pPr>
        <w:numPr>
          <w:ilvl w:val="0"/>
          <w:numId w:val="2"/>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Develop energy performance indicators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for your organization including an </w:t>
      </w:r>
      <w:proofErr w:type="spellStart"/>
      <w:r>
        <w:rPr>
          <w:rFonts w:ascii="Arial" w:eastAsia="Arial" w:hAnsi="Arial" w:cs="Arial"/>
          <w:color w:val="000000"/>
          <w:sz w:val="20"/>
          <w:szCs w:val="20"/>
          <w:u w:val="single"/>
        </w:rPr>
        <w:t>EnPI</w:t>
      </w:r>
      <w:proofErr w:type="spellEnd"/>
      <w:r>
        <w:rPr>
          <w:rFonts w:ascii="Arial" w:eastAsia="Arial" w:hAnsi="Arial" w:cs="Arial"/>
          <w:color w:val="000000"/>
          <w:sz w:val="20"/>
          <w:szCs w:val="20"/>
          <w:u w:val="single"/>
        </w:rPr>
        <w:t xml:space="preserve"> for each SEU. If relevant variables significantly affect energy consumption, then normalize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w:t>
      </w:r>
    </w:p>
    <w:p w:rsidR="008624BA" w:rsidRDefault="00D91481">
      <w:pPr>
        <w:spacing w:after="240"/>
        <w:ind w:left="-810" w:right="-576"/>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 We have developed our energy performance indicators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using information from the energy review in the Energy Data Collection and Analysis task. </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7051"/>
        <w:gridCol w:w="3150"/>
      </w:tblGrid>
      <w:tr w:rsidR="008624BA">
        <w:trPr>
          <w:trHeight w:val="215"/>
        </w:trPr>
        <w:tc>
          <w:tcPr>
            <w:tcW w:w="509" w:type="dxa"/>
            <w:vAlign w:val="center"/>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51" w:type="dxa"/>
            <w:vAlign w:val="center"/>
          </w:tcPr>
          <w:p w:rsidR="008624BA" w:rsidRDefault="00D91481">
            <w:pPr>
              <w:spacing w:before="50" w:after="50" w:line="240" w:lineRule="auto"/>
              <w:ind w:right="-109"/>
              <w:rPr>
                <w:rFonts w:ascii="Arial" w:eastAsia="Arial" w:hAnsi="Arial" w:cs="Arial"/>
                <w:color w:val="000000"/>
                <w:sz w:val="20"/>
                <w:szCs w:val="20"/>
              </w:rPr>
            </w:pPr>
            <w:r>
              <w:rPr>
                <w:rFonts w:ascii="Arial" w:eastAsia="Arial" w:hAnsi="Arial" w:cs="Arial"/>
                <w:color w:val="000000"/>
                <w:sz w:val="20"/>
                <w:szCs w:val="20"/>
              </w:rPr>
              <w:t xml:space="preserve">We have assigned responsibilities of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development at our organization. </w:t>
            </w:r>
          </w:p>
        </w:tc>
        <w:tc>
          <w:tcPr>
            <w:tcW w:w="3150" w:type="dxa"/>
            <w:vAlign w:val="center"/>
          </w:tcPr>
          <w:p w:rsidR="008624BA" w:rsidRDefault="00D91481">
            <w:pPr>
              <w:spacing w:before="50" w:after="50" w:line="240" w:lineRule="auto"/>
              <w:ind w:right="-13"/>
              <w:rPr>
                <w:rFonts w:ascii="Arial" w:eastAsia="Arial" w:hAnsi="Arial" w:cs="Arial"/>
                <w:color w:val="000000"/>
                <w:sz w:val="20"/>
                <w:szCs w:val="20"/>
              </w:rPr>
            </w:pPr>
            <w:r>
              <w:rPr>
                <w:rFonts w:ascii="Arial" w:eastAsia="Arial" w:hAnsi="Arial" w:cs="Arial"/>
                <w:color w:val="0000FF"/>
                <w:sz w:val="20"/>
                <w:szCs w:val="20"/>
              </w:rPr>
              <w:t>This is the responsibility of the Green Team, with final decisions made by the Director of Engineering.</w:t>
            </w:r>
          </w:p>
        </w:tc>
      </w:tr>
    </w:tbl>
    <w:p w:rsidR="008624BA" w:rsidRDefault="008624BA">
      <w:pPr>
        <w:spacing w:after="0"/>
        <w:ind w:right="-576"/>
        <w:rPr>
          <w:rFonts w:ascii="Arial" w:eastAsia="Arial" w:hAnsi="Arial" w:cs="Arial"/>
          <w:color w:val="000000"/>
          <w:sz w:val="20"/>
          <w:szCs w:val="20"/>
        </w:rPr>
      </w:pPr>
    </w:p>
    <w:tbl>
      <w:tblPr>
        <w:tblStyle w:val="a0"/>
        <w:tblW w:w="100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079"/>
        <w:gridCol w:w="3420"/>
      </w:tblGrid>
      <w:tr w:rsidR="008624BA">
        <w:trPr>
          <w:trHeight w:val="215"/>
        </w:trPr>
        <w:tc>
          <w:tcPr>
            <w:tcW w:w="509" w:type="dxa"/>
            <w:vAlign w:val="center"/>
          </w:tcPr>
          <w:p w:rsidR="008624BA" w:rsidRDefault="00D91481">
            <w:pPr>
              <w:spacing w:before="50" w:after="50" w:line="240" w:lineRule="auto"/>
              <w:ind w:right="-720"/>
              <w:rPr>
                <w:rFonts w:ascii="Arial" w:eastAsia="Arial" w:hAnsi="Arial" w:cs="Arial"/>
                <w:color w:val="000000"/>
                <w:sz w:val="20"/>
                <w:szCs w:val="20"/>
              </w:rPr>
            </w:pPr>
            <w:bookmarkStart w:id="1" w:name="bookmark=id.30j0zll" w:colFirst="0" w:colLast="0"/>
            <w:bookmarkEnd w:id="1"/>
            <w:r>
              <w:rPr>
                <w:rFonts w:ascii="Arial" w:eastAsia="Arial" w:hAnsi="Arial" w:cs="Arial"/>
                <w:color w:val="000000"/>
                <w:sz w:val="20"/>
                <w:szCs w:val="20"/>
              </w:rPr>
              <w:t>☒</w:t>
            </w:r>
          </w:p>
        </w:tc>
        <w:tc>
          <w:tcPr>
            <w:tcW w:w="6079" w:type="dxa"/>
            <w:vAlign w:val="center"/>
          </w:tcPr>
          <w:p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Our </w:t>
            </w:r>
            <w:r>
              <w:rPr>
                <w:rFonts w:ascii="Arial" w:eastAsia="Arial" w:hAnsi="Arial" w:cs="Arial"/>
                <w:b/>
                <w:color w:val="000000"/>
                <w:sz w:val="20"/>
                <w:szCs w:val="20"/>
              </w:rPr>
              <w:t>energy team</w:t>
            </w:r>
            <w:r>
              <w:rPr>
                <w:rFonts w:ascii="Arial" w:eastAsia="Arial" w:hAnsi="Arial" w:cs="Arial"/>
                <w:color w:val="000000"/>
                <w:sz w:val="20"/>
                <w:szCs w:val="20"/>
              </w:rPr>
              <w:t xml:space="preserve"> is responsible for developing our list of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w:t>
            </w:r>
          </w:p>
        </w:tc>
        <w:tc>
          <w:tcPr>
            <w:tcW w:w="3420" w:type="dxa"/>
            <w:vAlign w:val="center"/>
          </w:tcPr>
          <w:p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List developed 5/3/21</w:t>
            </w:r>
          </w:p>
        </w:tc>
      </w:tr>
      <w:tr w:rsidR="008624BA">
        <w:trPr>
          <w:trHeight w:val="215"/>
        </w:trPr>
        <w:tc>
          <w:tcPr>
            <w:tcW w:w="509" w:type="dxa"/>
            <w:vAlign w:val="center"/>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079" w:type="dxa"/>
            <w:vAlign w:val="center"/>
          </w:tcPr>
          <w:p w:rsidR="008624BA" w:rsidRDefault="00D91481">
            <w:pPr>
              <w:spacing w:before="50" w:after="50" w:line="240" w:lineRule="auto"/>
              <w:rPr>
                <w:rFonts w:ascii="Arial" w:eastAsia="Arial" w:hAnsi="Arial" w:cs="Arial"/>
                <w:color w:val="000000"/>
                <w:sz w:val="20"/>
                <w:szCs w:val="20"/>
              </w:rPr>
            </w:pPr>
            <w:r>
              <w:rPr>
                <w:rFonts w:ascii="Arial" w:eastAsia="Arial" w:hAnsi="Arial" w:cs="Arial"/>
                <w:b/>
                <w:color w:val="000000"/>
                <w:sz w:val="20"/>
                <w:szCs w:val="20"/>
              </w:rPr>
              <w:t>Top management</w:t>
            </w:r>
            <w:r>
              <w:rPr>
                <w:rFonts w:ascii="Arial" w:eastAsia="Arial" w:hAnsi="Arial" w:cs="Arial"/>
                <w:color w:val="000000"/>
                <w:sz w:val="20"/>
                <w:szCs w:val="20"/>
              </w:rPr>
              <w:t xml:space="preserve"> is responsible for ensuring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appropriately represent energy performance, which can be accomplished through the management review process detailed in the Management Review task. </w:t>
            </w:r>
          </w:p>
        </w:tc>
        <w:tc>
          <w:tcPr>
            <w:tcW w:w="3420" w:type="dxa"/>
            <w:vAlign w:val="center"/>
          </w:tcPr>
          <w:p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Confirmed acceptance of responsibility on 5/14/21</w:t>
            </w:r>
          </w:p>
        </w:tc>
      </w:tr>
    </w:tbl>
    <w:p w:rsidR="008624BA" w:rsidRDefault="008624BA">
      <w:pPr>
        <w:spacing w:after="240"/>
        <w:ind w:left="-810" w:right="-576"/>
        <w:rPr>
          <w:rFonts w:ascii="Arial" w:eastAsia="Arial" w:hAnsi="Arial" w:cs="Arial"/>
          <w:color w:val="000000"/>
          <w:sz w:val="20"/>
          <w:szCs w:val="20"/>
        </w:rPr>
      </w:pP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151"/>
        <w:gridCol w:w="4050"/>
      </w:tblGrid>
      <w:tr w:rsidR="008624BA">
        <w:trPr>
          <w:trHeight w:val="215"/>
        </w:trPr>
        <w:tc>
          <w:tcPr>
            <w:tcW w:w="509" w:type="dxa"/>
            <w:vAlign w:val="center"/>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151" w:type="dxa"/>
            <w:vAlign w:val="center"/>
          </w:tcPr>
          <w:p w:rsidR="008624BA" w:rsidRDefault="00D91481">
            <w:pPr>
              <w:spacing w:before="50" w:after="50" w:line="240" w:lineRule="auto"/>
              <w:ind w:right="67"/>
              <w:rPr>
                <w:rFonts w:ascii="Arial" w:eastAsia="Arial" w:hAnsi="Arial" w:cs="Arial"/>
                <w:color w:val="000000"/>
                <w:sz w:val="20"/>
                <w:szCs w:val="20"/>
              </w:rPr>
            </w:pPr>
            <w:r>
              <w:rPr>
                <w:rFonts w:ascii="Arial" w:eastAsia="Arial" w:hAnsi="Arial" w:cs="Arial"/>
                <w:color w:val="000000"/>
                <w:sz w:val="20"/>
                <w:szCs w:val="20"/>
              </w:rPr>
              <w:t xml:space="preserve">We have assigned an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for each significant energy use (SEU). </w:t>
            </w:r>
          </w:p>
        </w:tc>
        <w:tc>
          <w:tcPr>
            <w:tcW w:w="4050" w:type="dxa"/>
            <w:vAlign w:val="center"/>
          </w:tcPr>
          <w:p w:rsidR="008624BA" w:rsidRDefault="00D91481">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5/3/21</w:t>
            </w:r>
          </w:p>
        </w:tc>
      </w:tr>
      <w:tr w:rsidR="008624BA">
        <w:trPr>
          <w:trHeight w:val="215"/>
        </w:trPr>
        <w:tc>
          <w:tcPr>
            <w:tcW w:w="509" w:type="dxa"/>
            <w:vAlign w:val="center"/>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151" w:type="dxa"/>
            <w:vAlign w:val="center"/>
          </w:tcPr>
          <w:p w:rsidR="008624BA" w:rsidRDefault="00D91481">
            <w:pPr>
              <w:spacing w:before="50" w:after="50" w:line="240" w:lineRule="auto"/>
              <w:ind w:right="67"/>
              <w:rPr>
                <w:rFonts w:ascii="Arial" w:eastAsia="Arial" w:hAnsi="Arial" w:cs="Arial"/>
                <w:color w:val="000000"/>
                <w:sz w:val="20"/>
                <w:szCs w:val="20"/>
              </w:rPr>
            </w:pPr>
            <w:r>
              <w:rPr>
                <w:rFonts w:ascii="Arial" w:eastAsia="Arial" w:hAnsi="Arial" w:cs="Arial"/>
                <w:color w:val="000000"/>
                <w:sz w:val="20"/>
                <w:szCs w:val="20"/>
              </w:rPr>
              <w:t xml:space="preserve">Each of the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we have selected provide immediate value to key stakeholders. </w:t>
            </w:r>
          </w:p>
        </w:tc>
        <w:tc>
          <w:tcPr>
            <w:tcW w:w="4050" w:type="dxa"/>
            <w:vAlign w:val="center"/>
          </w:tcPr>
          <w:p w:rsidR="008624BA" w:rsidRDefault="00D91481">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Confirmed</w:t>
            </w:r>
          </w:p>
        </w:tc>
      </w:tr>
    </w:tbl>
    <w:p w:rsidR="008624BA" w:rsidRDefault="00D91481">
      <w:pPr>
        <w:spacing w:before="120" w:line="240" w:lineRule="auto"/>
        <w:ind w:left="-806" w:right="-720"/>
        <w:rPr>
          <w:rFonts w:ascii="Arial" w:eastAsia="Arial" w:hAnsi="Arial" w:cs="Arial"/>
          <w:i/>
          <w:color w:val="000000"/>
          <w:sz w:val="20"/>
          <w:szCs w:val="20"/>
        </w:rPr>
      </w:pPr>
      <w:r>
        <w:rPr>
          <w:rFonts w:ascii="Arial" w:eastAsia="Arial" w:hAnsi="Arial" w:cs="Arial"/>
          <w:i/>
          <w:color w:val="000000"/>
          <w:sz w:val="20"/>
          <w:szCs w:val="20"/>
        </w:rPr>
        <w:lastRenderedPageBreak/>
        <w:t xml:space="preserve">Note: For 50001 Ready recognition specific </w:t>
      </w:r>
      <w:proofErr w:type="spellStart"/>
      <w:r>
        <w:rPr>
          <w:rFonts w:ascii="Arial" w:eastAsia="Arial" w:hAnsi="Arial" w:cs="Arial"/>
          <w:i/>
          <w:color w:val="000000"/>
          <w:sz w:val="20"/>
          <w:szCs w:val="20"/>
        </w:rPr>
        <w:t>EnPIs</w:t>
      </w:r>
      <w:proofErr w:type="spellEnd"/>
      <w:r>
        <w:rPr>
          <w:rFonts w:ascii="Arial" w:eastAsia="Arial" w:hAnsi="Arial" w:cs="Arial"/>
          <w:i/>
          <w:color w:val="000000"/>
          <w:sz w:val="20"/>
          <w:szCs w:val="20"/>
        </w:rPr>
        <w:t xml:space="preserve"> and </w:t>
      </w:r>
      <w:proofErr w:type="spellStart"/>
      <w:r>
        <w:rPr>
          <w:rFonts w:ascii="Arial" w:eastAsia="Arial" w:hAnsi="Arial" w:cs="Arial"/>
          <w:i/>
          <w:color w:val="000000"/>
          <w:sz w:val="20"/>
          <w:szCs w:val="20"/>
        </w:rPr>
        <w:t>EnBs</w:t>
      </w:r>
      <w:proofErr w:type="spellEnd"/>
      <w:r>
        <w:rPr>
          <w:rFonts w:ascii="Arial" w:eastAsia="Arial" w:hAnsi="Arial" w:cs="Arial"/>
          <w:i/>
          <w:color w:val="000000"/>
          <w:sz w:val="20"/>
          <w:szCs w:val="20"/>
        </w:rPr>
        <w:t xml:space="preserve"> are required. See program requirements on the “Get Ready Recognized” page of the 50001 Ready Navigator for more information.</w:t>
      </w:r>
    </w:p>
    <w:p w:rsidR="008624BA" w:rsidRDefault="00D91481">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xml:space="preserve">☒ We have established criteria for identifying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detailed below:</w:t>
      </w:r>
    </w:p>
    <w:p w:rsidR="008624BA" w:rsidRDefault="00D91481">
      <w:pPr>
        <w:spacing w:line="240" w:lineRule="auto"/>
        <w:ind w:left="-806"/>
        <w:rPr>
          <w:rFonts w:ascii="Arial" w:eastAsia="Arial" w:hAnsi="Arial" w:cs="Arial"/>
          <w:color w:val="0000FF"/>
          <w:sz w:val="20"/>
          <w:szCs w:val="20"/>
        </w:rPr>
      </w:pPr>
      <w:r>
        <w:rPr>
          <w:rFonts w:ascii="Arial" w:eastAsia="Arial" w:hAnsi="Arial" w:cs="Arial"/>
          <w:color w:val="0000FF"/>
          <w:sz w:val="20"/>
          <w:szCs w:val="20"/>
        </w:rPr>
        <w:t xml:space="preserve">Our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provide site-level metrics on electricity, natural gas, and water consumption for the hotel, along with visibility into the performance of our chilled water and boiler plant operations, which are 2 significant energy users</w:t>
      </w:r>
      <w:r w:rsidR="000635A5">
        <w:rPr>
          <w:rFonts w:ascii="Arial" w:eastAsia="Arial" w:hAnsi="Arial" w:cs="Arial"/>
          <w:color w:val="0000FF"/>
          <w:sz w:val="20"/>
          <w:szCs w:val="20"/>
        </w:rPr>
        <w:t>.</w:t>
      </w:r>
    </w:p>
    <w:p w:rsidR="008624BA" w:rsidRDefault="00D91481">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xml:space="preserve">☒ We have established methods for determining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detailed below:</w:t>
      </w:r>
    </w:p>
    <w:p w:rsidR="008624BA" w:rsidRDefault="00D91481">
      <w:pPr>
        <w:spacing w:line="240" w:lineRule="auto"/>
        <w:ind w:left="-806"/>
        <w:rPr>
          <w:rFonts w:ascii="Arial" w:eastAsia="Arial" w:hAnsi="Arial" w:cs="Arial"/>
          <w:color w:val="0000FF"/>
          <w:sz w:val="20"/>
          <w:szCs w:val="20"/>
        </w:rPr>
      </w:pPr>
      <w:r>
        <w:rPr>
          <w:rFonts w:ascii="Arial" w:eastAsia="Arial" w:hAnsi="Arial" w:cs="Arial"/>
          <w:color w:val="0000FF"/>
          <w:sz w:val="20"/>
          <w:szCs w:val="20"/>
        </w:rPr>
        <w:t xml:space="preserve">Our current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are based on site-level and equipment-level data where we have ready and reliable access.  Site data will utilize monthly billing from our utilities entered into Energy Star Portfolio Manager and normalized for occupied room rates.  Chiller and boiler plant performance will be based upon data we currently have in our B</w:t>
      </w:r>
      <w:r w:rsidR="000635A5">
        <w:rPr>
          <w:rFonts w:ascii="Arial" w:eastAsia="Arial" w:hAnsi="Arial" w:cs="Arial"/>
          <w:color w:val="0000FF"/>
          <w:sz w:val="20"/>
          <w:szCs w:val="20"/>
        </w:rPr>
        <w:t>uilding Management System</w:t>
      </w:r>
      <w:r w:rsidR="00FB36A2">
        <w:rPr>
          <w:rFonts w:ascii="Arial" w:eastAsia="Arial" w:hAnsi="Arial" w:cs="Arial"/>
          <w:color w:val="0000FF"/>
          <w:sz w:val="20"/>
          <w:szCs w:val="20"/>
        </w:rPr>
        <w:t xml:space="preserve"> (BMS)</w:t>
      </w:r>
      <w:r>
        <w:rPr>
          <w:rFonts w:ascii="Arial" w:eastAsia="Arial" w:hAnsi="Arial" w:cs="Arial"/>
          <w:color w:val="0000FF"/>
          <w:sz w:val="20"/>
          <w:szCs w:val="20"/>
        </w:rPr>
        <w:t xml:space="preserve">.  Other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will be determined for other significant energy uses once data collection points are developed and integrated into a system to easily record, track, and automate the transfer of this data into a useable format.</w:t>
      </w:r>
    </w:p>
    <w:p w:rsidR="008624BA" w:rsidRDefault="00D91481">
      <w:pPr>
        <w:spacing w:line="240" w:lineRule="auto"/>
        <w:ind w:left="-810" w:right="-720"/>
        <w:rPr>
          <w:rFonts w:ascii="Arial" w:eastAsia="Arial" w:hAnsi="Arial" w:cs="Arial"/>
          <w:color w:val="000000"/>
          <w:sz w:val="20"/>
          <w:szCs w:val="20"/>
        </w:rPr>
      </w:pPr>
      <w:bookmarkStart w:id="2" w:name="bookmark=id.1fob9te" w:colFirst="0" w:colLast="0"/>
      <w:bookmarkEnd w:id="2"/>
      <w:r>
        <w:rPr>
          <w:rFonts w:ascii="Arial" w:eastAsia="Arial" w:hAnsi="Arial" w:cs="Arial"/>
          <w:color w:val="000000"/>
          <w:sz w:val="20"/>
          <w:szCs w:val="20"/>
        </w:rPr>
        <w:t>☒ We have established a process for recording and reviewing these methods on a regular basis.</w:t>
      </w:r>
    </w:p>
    <w:p w:rsidR="008624BA" w:rsidRDefault="00D91481">
      <w:pPr>
        <w:spacing w:line="240" w:lineRule="auto"/>
        <w:ind w:left="-810"/>
        <w:rPr>
          <w:rFonts w:ascii="Arial" w:eastAsia="Arial" w:hAnsi="Arial" w:cs="Arial"/>
          <w:color w:val="0000FF"/>
          <w:sz w:val="20"/>
          <w:szCs w:val="20"/>
          <w:u w:val="single"/>
        </w:rPr>
      </w:pPr>
      <w:r>
        <w:rPr>
          <w:rFonts w:ascii="Arial" w:eastAsia="Arial" w:hAnsi="Arial" w:cs="Arial"/>
          <w:color w:val="0000FF"/>
          <w:sz w:val="20"/>
          <w:szCs w:val="20"/>
        </w:rPr>
        <w:t>We will use both Energy Star Portfolio Manager and our Sustainability Tracker as the means to record our monthly energy usage. We will begin to normalize these values for number of occupied rooms throughout the month to adjust for changing occupancy patterns.  We’re also exploring how to capture and report these values on a daily basis and to include average outside air temperatures and food &amp; beverage covers to have a more accurate representation to changing relevant variables that drive energy consumption for our site.</w:t>
      </w:r>
    </w:p>
    <w:p w:rsidR="008624BA" w:rsidRDefault="008624BA">
      <w:pPr>
        <w:spacing w:line="240" w:lineRule="auto"/>
        <w:ind w:left="-806" w:right="-720"/>
        <w:rPr>
          <w:rFonts w:ascii="Arial" w:eastAsia="Arial" w:hAnsi="Arial" w:cs="Arial"/>
          <w:color w:val="000000"/>
          <w:sz w:val="20"/>
          <w:szCs w:val="20"/>
        </w:rPr>
      </w:pPr>
    </w:p>
    <w:p w:rsidR="008624BA" w:rsidRDefault="00D91481">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xml:space="preserve">☒ We have created a list of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(s) for our facility, and have detailed below:</w:t>
      </w:r>
    </w:p>
    <w:tbl>
      <w:tblPr>
        <w:tblStyle w:val="a2"/>
        <w:tblW w:w="1071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71"/>
        <w:gridCol w:w="4568"/>
      </w:tblGrid>
      <w:tr w:rsidR="008624BA">
        <w:trPr>
          <w:trHeight w:val="540"/>
          <w:tblHeader/>
        </w:trPr>
        <w:tc>
          <w:tcPr>
            <w:tcW w:w="3071" w:type="dxa"/>
            <w:tcBorders>
              <w:top w:val="single" w:sz="12" w:space="0" w:color="000000"/>
              <w:left w:val="single" w:sz="12" w:space="0" w:color="000000"/>
              <w:bottom w:val="single" w:sz="12" w:space="0" w:color="000000"/>
            </w:tcBorders>
          </w:tcPr>
          <w:p w:rsidR="008624BA" w:rsidRDefault="00D91481">
            <w:pPr>
              <w:jc w:val="center"/>
              <w:rPr>
                <w:rFonts w:ascii="Arial" w:eastAsia="Arial" w:hAnsi="Arial" w:cs="Arial"/>
                <w:b/>
                <w:sz w:val="20"/>
                <w:szCs w:val="20"/>
              </w:rPr>
            </w:pPr>
            <w:proofErr w:type="spellStart"/>
            <w:r>
              <w:rPr>
                <w:rFonts w:ascii="Arial" w:eastAsia="Arial" w:hAnsi="Arial" w:cs="Arial"/>
                <w:b/>
                <w:sz w:val="20"/>
                <w:szCs w:val="20"/>
              </w:rPr>
              <w:t>EnPI</w:t>
            </w:r>
            <w:proofErr w:type="spellEnd"/>
          </w:p>
        </w:tc>
        <w:tc>
          <w:tcPr>
            <w:tcW w:w="3071" w:type="dxa"/>
            <w:tcBorders>
              <w:top w:val="single" w:sz="12" w:space="0" w:color="000000"/>
              <w:bottom w:val="single" w:sz="12" w:space="0" w:color="000000"/>
            </w:tcBorders>
            <w:vAlign w:val="center"/>
          </w:tcPr>
          <w:p w:rsidR="008624BA" w:rsidRDefault="00D91481">
            <w:pPr>
              <w:jc w:val="center"/>
              <w:rPr>
                <w:rFonts w:ascii="Arial" w:eastAsia="Arial" w:hAnsi="Arial" w:cs="Arial"/>
                <w:b/>
                <w:sz w:val="20"/>
                <w:szCs w:val="20"/>
              </w:rPr>
            </w:pPr>
            <w:r>
              <w:rPr>
                <w:rFonts w:ascii="Arial" w:eastAsia="Arial" w:hAnsi="Arial" w:cs="Arial"/>
                <w:b/>
                <w:sz w:val="20"/>
                <w:szCs w:val="20"/>
              </w:rPr>
              <w:t>Energy Input, units</w:t>
            </w:r>
          </w:p>
        </w:tc>
        <w:tc>
          <w:tcPr>
            <w:tcW w:w="4568" w:type="dxa"/>
            <w:tcBorders>
              <w:top w:val="single" w:sz="12" w:space="0" w:color="000000"/>
              <w:bottom w:val="single" w:sz="12" w:space="0" w:color="000000"/>
              <w:right w:val="single" w:sz="12" w:space="0" w:color="000000"/>
            </w:tcBorders>
            <w:vAlign w:val="center"/>
          </w:tcPr>
          <w:p w:rsidR="008624BA" w:rsidRDefault="00D91481">
            <w:pPr>
              <w:jc w:val="center"/>
              <w:rPr>
                <w:rFonts w:ascii="Arial" w:eastAsia="Arial" w:hAnsi="Arial" w:cs="Arial"/>
                <w:b/>
                <w:sz w:val="20"/>
                <w:szCs w:val="20"/>
              </w:rPr>
            </w:pPr>
            <w:r>
              <w:rPr>
                <w:rFonts w:ascii="Arial" w:eastAsia="Arial" w:hAnsi="Arial" w:cs="Arial"/>
                <w:b/>
                <w:sz w:val="20"/>
                <w:szCs w:val="20"/>
              </w:rPr>
              <w:t xml:space="preserve">Description of intended use of </w:t>
            </w:r>
            <w:proofErr w:type="spellStart"/>
            <w:r>
              <w:rPr>
                <w:rFonts w:ascii="Arial" w:eastAsia="Arial" w:hAnsi="Arial" w:cs="Arial"/>
                <w:b/>
                <w:sz w:val="20"/>
                <w:szCs w:val="20"/>
              </w:rPr>
              <w:t>EnPI</w:t>
            </w:r>
            <w:proofErr w:type="spellEnd"/>
            <w:r>
              <w:rPr>
                <w:rFonts w:ascii="Arial" w:eastAsia="Arial" w:hAnsi="Arial" w:cs="Arial"/>
                <w:b/>
                <w:sz w:val="20"/>
                <w:szCs w:val="20"/>
              </w:rPr>
              <w:t xml:space="preserve"> </w:t>
            </w:r>
          </w:p>
        </w:tc>
      </w:tr>
      <w:tr w:rsidR="008624BA" w:rsidTr="00D233D1">
        <w:trPr>
          <w:cantSplit/>
          <w:trHeight w:val="592"/>
        </w:trPr>
        <w:tc>
          <w:tcPr>
            <w:tcW w:w="3071" w:type="dxa"/>
            <w:tcBorders>
              <w:top w:val="single" w:sz="12" w:space="0" w:color="000000"/>
            </w:tcBorders>
          </w:tcPr>
          <w:p w:rsidR="008624BA" w:rsidRDefault="00D91481">
            <w:pPr>
              <w:rPr>
                <w:rFonts w:ascii="Arial" w:eastAsia="Arial" w:hAnsi="Arial" w:cs="Arial"/>
                <w:color w:val="0000FF"/>
                <w:sz w:val="20"/>
                <w:szCs w:val="20"/>
              </w:rPr>
            </w:pPr>
            <w:r>
              <w:rPr>
                <w:rFonts w:ascii="Arial" w:eastAsia="Arial" w:hAnsi="Arial" w:cs="Arial"/>
                <w:color w:val="0000FF"/>
                <w:sz w:val="20"/>
                <w:szCs w:val="20"/>
              </w:rPr>
              <w:t>Energy Star Portfolio Manager score</w:t>
            </w:r>
          </w:p>
        </w:tc>
        <w:tc>
          <w:tcPr>
            <w:tcW w:w="3071" w:type="dxa"/>
            <w:tcBorders>
              <w:top w:val="single" w:sz="12" w:space="0" w:color="000000"/>
            </w:tcBorders>
          </w:tcPr>
          <w:p w:rsidR="008624BA" w:rsidRDefault="00D91481">
            <w:pPr>
              <w:rPr>
                <w:rFonts w:ascii="Arial" w:eastAsia="Arial" w:hAnsi="Arial" w:cs="Arial"/>
                <w:color w:val="0000FF"/>
                <w:sz w:val="20"/>
                <w:szCs w:val="20"/>
              </w:rPr>
            </w:pPr>
            <w:proofErr w:type="spellStart"/>
            <w:r>
              <w:rPr>
                <w:rFonts w:ascii="Arial" w:eastAsia="Arial" w:hAnsi="Arial" w:cs="Arial"/>
                <w:color w:val="0000FF"/>
                <w:sz w:val="20"/>
                <w:szCs w:val="20"/>
              </w:rPr>
              <w:t>kBtu</w:t>
            </w:r>
            <w:proofErr w:type="spellEnd"/>
            <w:r>
              <w:rPr>
                <w:rFonts w:ascii="Arial" w:eastAsia="Arial" w:hAnsi="Arial" w:cs="Arial"/>
                <w:color w:val="0000FF"/>
                <w:sz w:val="20"/>
                <w:szCs w:val="20"/>
              </w:rPr>
              <w:t>/square-foot then normalized within Portfolio Manager for a 1-10</w:t>
            </w:r>
            <w:bookmarkStart w:id="3" w:name="_GoBack"/>
            <w:bookmarkEnd w:id="3"/>
            <w:r>
              <w:rPr>
                <w:rFonts w:ascii="Arial" w:eastAsia="Arial" w:hAnsi="Arial" w:cs="Arial"/>
                <w:color w:val="0000FF"/>
                <w:sz w:val="20"/>
                <w:szCs w:val="20"/>
              </w:rPr>
              <w:t>0 score</w:t>
            </w:r>
          </w:p>
        </w:tc>
        <w:tc>
          <w:tcPr>
            <w:tcW w:w="4568" w:type="dxa"/>
            <w:tcBorders>
              <w:top w:val="single" w:sz="12" w:space="0" w:color="000000"/>
            </w:tcBorders>
            <w:vAlign w:val="center"/>
          </w:tcPr>
          <w:p w:rsidR="008624BA" w:rsidRDefault="00D91481">
            <w:pPr>
              <w:rPr>
                <w:rFonts w:ascii="Arial" w:eastAsia="Arial" w:hAnsi="Arial" w:cs="Arial"/>
                <w:color w:val="0000FF"/>
                <w:sz w:val="20"/>
                <w:szCs w:val="20"/>
              </w:rPr>
            </w:pPr>
            <w:r>
              <w:rPr>
                <w:rFonts w:ascii="Arial" w:eastAsia="Arial" w:hAnsi="Arial" w:cs="Arial"/>
                <w:color w:val="0000FF"/>
                <w:sz w:val="20"/>
                <w:szCs w:val="20"/>
              </w:rPr>
              <w:t>Measurement of overall site energy performance compared to past periods and rated against other hotels/motels within the Portfolio Manager tool</w:t>
            </w:r>
          </w:p>
        </w:tc>
      </w:tr>
      <w:tr w:rsidR="008624BA">
        <w:trPr>
          <w:cantSplit/>
          <w:trHeight w:val="592"/>
        </w:trPr>
        <w:tc>
          <w:tcPr>
            <w:tcW w:w="3071" w:type="dxa"/>
            <w:tcBorders>
              <w:top w:val="single" w:sz="12" w:space="0" w:color="000000"/>
            </w:tcBorders>
          </w:tcPr>
          <w:p w:rsidR="008624BA" w:rsidRDefault="00D91481">
            <w:pPr>
              <w:rPr>
                <w:rFonts w:ascii="Arial" w:eastAsia="Arial" w:hAnsi="Arial" w:cs="Arial"/>
                <w:color w:val="0000FF"/>
                <w:sz w:val="20"/>
                <w:szCs w:val="20"/>
              </w:rPr>
            </w:pPr>
            <w:r>
              <w:rPr>
                <w:rFonts w:ascii="Arial" w:eastAsia="Arial" w:hAnsi="Arial" w:cs="Arial"/>
                <w:color w:val="0000FF"/>
                <w:sz w:val="20"/>
                <w:szCs w:val="20"/>
              </w:rPr>
              <w:t>Electrical consumption per occupied room</w:t>
            </w:r>
          </w:p>
        </w:tc>
        <w:tc>
          <w:tcPr>
            <w:tcW w:w="3071" w:type="dxa"/>
            <w:tcBorders>
              <w:top w:val="single" w:sz="12" w:space="0" w:color="000000"/>
            </w:tcBorders>
            <w:vAlign w:val="center"/>
          </w:tcPr>
          <w:p w:rsidR="008624BA" w:rsidRDefault="00D91481">
            <w:pPr>
              <w:rPr>
                <w:rFonts w:ascii="Arial" w:eastAsia="Arial" w:hAnsi="Arial" w:cs="Arial"/>
                <w:color w:val="0000FF"/>
                <w:sz w:val="20"/>
                <w:szCs w:val="20"/>
              </w:rPr>
            </w:pPr>
            <w:r>
              <w:rPr>
                <w:rFonts w:ascii="Arial" w:eastAsia="Arial" w:hAnsi="Arial" w:cs="Arial"/>
                <w:color w:val="0000FF"/>
                <w:sz w:val="20"/>
                <w:szCs w:val="20"/>
              </w:rPr>
              <w:t>kWh</w:t>
            </w:r>
          </w:p>
          <w:p w:rsidR="008624BA" w:rsidRDefault="00D91481">
            <w:pPr>
              <w:rPr>
                <w:rFonts w:ascii="Arial" w:eastAsia="Arial" w:hAnsi="Arial" w:cs="Arial"/>
                <w:color w:val="0000FF"/>
                <w:sz w:val="20"/>
                <w:szCs w:val="20"/>
              </w:rPr>
            </w:pPr>
            <w:r>
              <w:rPr>
                <w:rFonts w:ascii="Arial" w:eastAsia="Arial" w:hAnsi="Arial" w:cs="Arial"/>
                <w:color w:val="0000FF"/>
                <w:sz w:val="20"/>
                <w:szCs w:val="20"/>
              </w:rPr>
              <w:t>kWh per occupied room</w:t>
            </w:r>
          </w:p>
        </w:tc>
        <w:tc>
          <w:tcPr>
            <w:tcW w:w="4568" w:type="dxa"/>
            <w:tcBorders>
              <w:top w:val="single" w:sz="12" w:space="0" w:color="000000"/>
            </w:tcBorders>
            <w:vAlign w:val="center"/>
          </w:tcPr>
          <w:p w:rsidR="008624BA" w:rsidRDefault="00D91481">
            <w:pPr>
              <w:rPr>
                <w:rFonts w:ascii="Arial" w:eastAsia="Arial" w:hAnsi="Arial" w:cs="Arial"/>
                <w:color w:val="0000FF"/>
                <w:sz w:val="20"/>
                <w:szCs w:val="20"/>
              </w:rPr>
            </w:pPr>
            <w:r>
              <w:rPr>
                <w:rFonts w:ascii="Arial" w:eastAsia="Arial" w:hAnsi="Arial" w:cs="Arial"/>
                <w:color w:val="0000FF"/>
                <w:sz w:val="20"/>
                <w:szCs w:val="20"/>
              </w:rPr>
              <w:t>Track monthly consumption and normalize for occupancy</w:t>
            </w:r>
          </w:p>
        </w:tc>
      </w:tr>
      <w:tr w:rsidR="008624BA">
        <w:trPr>
          <w:cantSplit/>
          <w:trHeight w:val="610"/>
        </w:trPr>
        <w:tc>
          <w:tcPr>
            <w:tcW w:w="3071" w:type="dxa"/>
          </w:tcPr>
          <w:p w:rsidR="008624BA" w:rsidRDefault="00D91481">
            <w:pPr>
              <w:rPr>
                <w:rFonts w:ascii="Arial" w:eastAsia="Arial" w:hAnsi="Arial" w:cs="Arial"/>
                <w:color w:val="0000FF"/>
                <w:sz w:val="20"/>
                <w:szCs w:val="20"/>
              </w:rPr>
            </w:pPr>
            <w:r>
              <w:rPr>
                <w:rFonts w:ascii="Arial" w:eastAsia="Arial" w:hAnsi="Arial" w:cs="Arial"/>
                <w:color w:val="0000FF"/>
                <w:sz w:val="20"/>
                <w:szCs w:val="20"/>
              </w:rPr>
              <w:t>Natural Gas consumption per occupied room</w:t>
            </w:r>
          </w:p>
        </w:tc>
        <w:tc>
          <w:tcPr>
            <w:tcW w:w="3071" w:type="dxa"/>
            <w:vAlign w:val="center"/>
          </w:tcPr>
          <w:p w:rsidR="008624BA" w:rsidRDefault="00D91481">
            <w:pPr>
              <w:rPr>
                <w:rFonts w:ascii="Arial" w:eastAsia="Arial" w:hAnsi="Arial" w:cs="Arial"/>
                <w:color w:val="0000FF"/>
                <w:sz w:val="20"/>
                <w:szCs w:val="20"/>
              </w:rPr>
            </w:pPr>
            <w:proofErr w:type="spellStart"/>
            <w:r>
              <w:rPr>
                <w:rFonts w:ascii="Arial" w:eastAsia="Arial" w:hAnsi="Arial" w:cs="Arial"/>
                <w:color w:val="0000FF"/>
                <w:sz w:val="20"/>
                <w:szCs w:val="20"/>
              </w:rPr>
              <w:t>Therms</w:t>
            </w:r>
            <w:proofErr w:type="spellEnd"/>
          </w:p>
          <w:p w:rsidR="008624BA" w:rsidRDefault="00D91481">
            <w:pPr>
              <w:rPr>
                <w:rFonts w:ascii="Arial" w:eastAsia="Arial" w:hAnsi="Arial" w:cs="Arial"/>
                <w:color w:val="0000FF"/>
                <w:sz w:val="20"/>
                <w:szCs w:val="20"/>
              </w:rPr>
            </w:pPr>
            <w:proofErr w:type="spellStart"/>
            <w:r>
              <w:rPr>
                <w:rFonts w:ascii="Arial" w:eastAsia="Arial" w:hAnsi="Arial" w:cs="Arial"/>
                <w:color w:val="0000FF"/>
                <w:sz w:val="20"/>
                <w:szCs w:val="20"/>
              </w:rPr>
              <w:t>Therms</w:t>
            </w:r>
            <w:proofErr w:type="spellEnd"/>
            <w:r>
              <w:rPr>
                <w:rFonts w:ascii="Arial" w:eastAsia="Arial" w:hAnsi="Arial" w:cs="Arial"/>
                <w:color w:val="0000FF"/>
                <w:sz w:val="20"/>
                <w:szCs w:val="20"/>
              </w:rPr>
              <w:t xml:space="preserve"> per occupied room</w:t>
            </w:r>
          </w:p>
        </w:tc>
        <w:tc>
          <w:tcPr>
            <w:tcW w:w="4568" w:type="dxa"/>
            <w:vAlign w:val="center"/>
          </w:tcPr>
          <w:p w:rsidR="008624BA" w:rsidRDefault="00D91481">
            <w:pPr>
              <w:rPr>
                <w:rFonts w:ascii="Arial" w:eastAsia="Arial" w:hAnsi="Arial" w:cs="Arial"/>
                <w:color w:val="0000FF"/>
                <w:sz w:val="20"/>
                <w:szCs w:val="20"/>
              </w:rPr>
            </w:pPr>
            <w:r>
              <w:rPr>
                <w:rFonts w:ascii="Arial" w:eastAsia="Arial" w:hAnsi="Arial" w:cs="Arial"/>
                <w:color w:val="0000FF"/>
                <w:sz w:val="20"/>
                <w:szCs w:val="20"/>
              </w:rPr>
              <w:t>Track monthly consumption and normalize for occupancy</w:t>
            </w:r>
          </w:p>
        </w:tc>
      </w:tr>
      <w:tr w:rsidR="008624BA">
        <w:trPr>
          <w:cantSplit/>
          <w:trHeight w:val="610"/>
        </w:trPr>
        <w:tc>
          <w:tcPr>
            <w:tcW w:w="3071" w:type="dxa"/>
          </w:tcPr>
          <w:p w:rsidR="008624BA" w:rsidRDefault="00D91481">
            <w:pPr>
              <w:rPr>
                <w:rFonts w:ascii="Arial" w:eastAsia="Arial" w:hAnsi="Arial" w:cs="Arial"/>
                <w:color w:val="0000FF"/>
                <w:sz w:val="20"/>
                <w:szCs w:val="20"/>
              </w:rPr>
            </w:pPr>
            <w:r>
              <w:rPr>
                <w:rFonts w:ascii="Arial" w:eastAsia="Arial" w:hAnsi="Arial" w:cs="Arial"/>
                <w:color w:val="0000FF"/>
                <w:sz w:val="20"/>
                <w:szCs w:val="20"/>
              </w:rPr>
              <w:t>Water usage per occupied room</w:t>
            </w:r>
          </w:p>
        </w:tc>
        <w:tc>
          <w:tcPr>
            <w:tcW w:w="3071" w:type="dxa"/>
            <w:vAlign w:val="center"/>
          </w:tcPr>
          <w:p w:rsidR="008624BA" w:rsidRDefault="00D91481">
            <w:pPr>
              <w:rPr>
                <w:rFonts w:ascii="Arial" w:eastAsia="Arial" w:hAnsi="Arial" w:cs="Arial"/>
                <w:color w:val="0000FF"/>
                <w:sz w:val="20"/>
                <w:szCs w:val="20"/>
              </w:rPr>
            </w:pPr>
            <w:r>
              <w:rPr>
                <w:rFonts w:ascii="Arial" w:eastAsia="Arial" w:hAnsi="Arial" w:cs="Arial"/>
                <w:color w:val="0000FF"/>
                <w:sz w:val="20"/>
                <w:szCs w:val="20"/>
              </w:rPr>
              <w:t>HCF</w:t>
            </w:r>
          </w:p>
          <w:p w:rsidR="008624BA" w:rsidRDefault="00D91481">
            <w:pPr>
              <w:rPr>
                <w:rFonts w:ascii="Arial" w:eastAsia="Arial" w:hAnsi="Arial" w:cs="Arial"/>
                <w:color w:val="0000FF"/>
                <w:sz w:val="20"/>
                <w:szCs w:val="20"/>
              </w:rPr>
            </w:pPr>
            <w:r>
              <w:rPr>
                <w:rFonts w:ascii="Arial" w:eastAsia="Arial" w:hAnsi="Arial" w:cs="Arial"/>
                <w:color w:val="0000FF"/>
                <w:sz w:val="20"/>
                <w:szCs w:val="20"/>
              </w:rPr>
              <w:t>HCF per occupied room</w:t>
            </w:r>
          </w:p>
        </w:tc>
        <w:tc>
          <w:tcPr>
            <w:tcW w:w="4568" w:type="dxa"/>
            <w:vAlign w:val="center"/>
          </w:tcPr>
          <w:p w:rsidR="008624BA" w:rsidRDefault="00D91481">
            <w:pPr>
              <w:rPr>
                <w:rFonts w:ascii="Arial" w:eastAsia="Arial" w:hAnsi="Arial" w:cs="Arial"/>
                <w:color w:val="0000FF"/>
                <w:sz w:val="20"/>
                <w:szCs w:val="20"/>
              </w:rPr>
            </w:pPr>
            <w:r>
              <w:rPr>
                <w:rFonts w:ascii="Arial" w:eastAsia="Arial" w:hAnsi="Arial" w:cs="Arial"/>
                <w:color w:val="0000FF"/>
                <w:sz w:val="20"/>
                <w:szCs w:val="20"/>
              </w:rPr>
              <w:t>Track monthly consumption and normalize for occupancy</w:t>
            </w:r>
          </w:p>
        </w:tc>
      </w:tr>
      <w:tr w:rsidR="008624BA">
        <w:trPr>
          <w:cantSplit/>
          <w:trHeight w:val="610"/>
        </w:trPr>
        <w:tc>
          <w:tcPr>
            <w:tcW w:w="3071" w:type="dxa"/>
          </w:tcPr>
          <w:p w:rsidR="008624BA" w:rsidRDefault="00D91481">
            <w:pPr>
              <w:rPr>
                <w:rFonts w:ascii="Arial" w:eastAsia="Arial" w:hAnsi="Arial" w:cs="Arial"/>
                <w:color w:val="0000FF"/>
                <w:sz w:val="20"/>
                <w:szCs w:val="20"/>
              </w:rPr>
            </w:pPr>
            <w:r>
              <w:rPr>
                <w:rFonts w:ascii="Arial" w:eastAsia="Arial" w:hAnsi="Arial" w:cs="Arial"/>
                <w:color w:val="0000FF"/>
                <w:sz w:val="20"/>
                <w:szCs w:val="20"/>
              </w:rPr>
              <w:t>Chiller plant performance</w:t>
            </w:r>
          </w:p>
        </w:tc>
        <w:tc>
          <w:tcPr>
            <w:tcW w:w="3071" w:type="dxa"/>
            <w:vAlign w:val="center"/>
          </w:tcPr>
          <w:p w:rsidR="008624BA" w:rsidRDefault="00D91481">
            <w:pPr>
              <w:rPr>
                <w:rFonts w:ascii="Arial" w:eastAsia="Arial" w:hAnsi="Arial" w:cs="Arial"/>
                <w:color w:val="0000FF"/>
                <w:sz w:val="20"/>
                <w:szCs w:val="20"/>
              </w:rPr>
            </w:pPr>
            <w:r>
              <w:rPr>
                <w:rFonts w:ascii="Arial" w:eastAsia="Arial" w:hAnsi="Arial" w:cs="Arial"/>
                <w:color w:val="0000FF"/>
                <w:sz w:val="20"/>
                <w:szCs w:val="20"/>
              </w:rPr>
              <w:t>kW/ton of cooling load</w:t>
            </w:r>
          </w:p>
        </w:tc>
        <w:tc>
          <w:tcPr>
            <w:tcW w:w="4568" w:type="dxa"/>
            <w:vAlign w:val="center"/>
          </w:tcPr>
          <w:p w:rsidR="008624BA" w:rsidRDefault="00D91481">
            <w:pPr>
              <w:rPr>
                <w:rFonts w:ascii="Arial" w:eastAsia="Arial" w:hAnsi="Arial" w:cs="Arial"/>
                <w:color w:val="0000FF"/>
                <w:sz w:val="20"/>
                <w:szCs w:val="20"/>
              </w:rPr>
            </w:pPr>
            <w:r>
              <w:rPr>
                <w:rFonts w:ascii="Arial" w:eastAsia="Arial" w:hAnsi="Arial" w:cs="Arial"/>
                <w:color w:val="0000FF"/>
                <w:sz w:val="20"/>
                <w:szCs w:val="20"/>
              </w:rPr>
              <w:t>Monitor energy performance of chillers, pumps, and ancillary equipment</w:t>
            </w:r>
          </w:p>
        </w:tc>
      </w:tr>
      <w:tr w:rsidR="008624BA">
        <w:trPr>
          <w:cantSplit/>
          <w:trHeight w:val="610"/>
        </w:trPr>
        <w:tc>
          <w:tcPr>
            <w:tcW w:w="3071" w:type="dxa"/>
          </w:tcPr>
          <w:p w:rsidR="008624BA" w:rsidRDefault="00D91481">
            <w:pPr>
              <w:rPr>
                <w:rFonts w:ascii="Arial" w:eastAsia="Arial" w:hAnsi="Arial" w:cs="Arial"/>
                <w:color w:val="0000FF"/>
                <w:sz w:val="20"/>
                <w:szCs w:val="20"/>
              </w:rPr>
            </w:pPr>
            <w:r>
              <w:rPr>
                <w:rFonts w:ascii="Arial" w:eastAsia="Arial" w:hAnsi="Arial" w:cs="Arial"/>
                <w:color w:val="0000FF"/>
                <w:sz w:val="20"/>
                <w:szCs w:val="20"/>
              </w:rPr>
              <w:t>Boiler plant performance</w:t>
            </w:r>
          </w:p>
        </w:tc>
        <w:tc>
          <w:tcPr>
            <w:tcW w:w="3071" w:type="dxa"/>
            <w:vAlign w:val="center"/>
          </w:tcPr>
          <w:p w:rsidR="008624BA" w:rsidRDefault="00D91481">
            <w:pPr>
              <w:rPr>
                <w:rFonts w:ascii="Arial" w:eastAsia="Arial" w:hAnsi="Arial" w:cs="Arial"/>
                <w:color w:val="0000FF"/>
                <w:sz w:val="20"/>
                <w:szCs w:val="20"/>
              </w:rPr>
            </w:pPr>
            <w:proofErr w:type="spellStart"/>
            <w:r>
              <w:rPr>
                <w:rFonts w:ascii="Arial" w:eastAsia="Arial" w:hAnsi="Arial" w:cs="Arial"/>
                <w:color w:val="0000FF"/>
                <w:sz w:val="20"/>
                <w:szCs w:val="20"/>
              </w:rPr>
              <w:t>Therms</w:t>
            </w:r>
            <w:proofErr w:type="spellEnd"/>
            <w:r>
              <w:rPr>
                <w:rFonts w:ascii="Arial" w:eastAsia="Arial" w:hAnsi="Arial" w:cs="Arial"/>
                <w:color w:val="0000FF"/>
                <w:sz w:val="20"/>
                <w:szCs w:val="20"/>
              </w:rPr>
              <w:t xml:space="preserve"> per </w:t>
            </w:r>
            <w:proofErr w:type="spellStart"/>
            <w:r>
              <w:rPr>
                <w:rFonts w:ascii="Arial" w:eastAsia="Arial" w:hAnsi="Arial" w:cs="Arial"/>
                <w:color w:val="0000FF"/>
                <w:sz w:val="20"/>
                <w:szCs w:val="20"/>
                <w:vertAlign w:val="superscript"/>
              </w:rPr>
              <w:t>o</w:t>
            </w:r>
            <w:r>
              <w:rPr>
                <w:rFonts w:ascii="Arial" w:eastAsia="Arial" w:hAnsi="Arial" w:cs="Arial"/>
                <w:color w:val="0000FF"/>
                <w:sz w:val="20"/>
                <w:szCs w:val="20"/>
              </w:rPr>
              <w:t>F</w:t>
            </w:r>
            <w:proofErr w:type="spellEnd"/>
            <w:r>
              <w:rPr>
                <w:rFonts w:ascii="Arial" w:eastAsia="Arial" w:hAnsi="Arial" w:cs="Arial"/>
                <w:color w:val="0000FF"/>
                <w:sz w:val="20"/>
                <w:szCs w:val="20"/>
              </w:rPr>
              <w:t xml:space="preserve"> of outside air temperature</w:t>
            </w:r>
          </w:p>
        </w:tc>
        <w:tc>
          <w:tcPr>
            <w:tcW w:w="4568" w:type="dxa"/>
            <w:vAlign w:val="center"/>
          </w:tcPr>
          <w:p w:rsidR="008624BA" w:rsidRDefault="00D91481">
            <w:pPr>
              <w:rPr>
                <w:rFonts w:ascii="Arial" w:eastAsia="Arial" w:hAnsi="Arial" w:cs="Arial"/>
                <w:color w:val="0000FF"/>
                <w:sz w:val="20"/>
                <w:szCs w:val="20"/>
              </w:rPr>
            </w:pPr>
            <w:r>
              <w:rPr>
                <w:rFonts w:ascii="Arial" w:eastAsia="Arial" w:hAnsi="Arial" w:cs="Arial"/>
                <w:color w:val="0000FF"/>
                <w:sz w:val="20"/>
                <w:szCs w:val="20"/>
              </w:rPr>
              <w:t>Monitor natural gas input to boilers and trend against daily/hourly outside air temperatures</w:t>
            </w:r>
          </w:p>
        </w:tc>
      </w:tr>
    </w:tbl>
    <w:p w:rsidR="008624BA" w:rsidRDefault="008624BA">
      <w:pPr>
        <w:spacing w:after="240"/>
        <w:ind w:right="-576"/>
        <w:rPr>
          <w:rFonts w:ascii="Arial" w:eastAsia="Arial" w:hAnsi="Arial" w:cs="Arial"/>
          <w:color w:val="000000"/>
          <w:sz w:val="20"/>
          <w:szCs w:val="20"/>
          <w:u w:val="single"/>
        </w:rPr>
      </w:pPr>
    </w:p>
    <w:p w:rsidR="008624BA" w:rsidRDefault="008624BA">
      <w:pPr>
        <w:spacing w:after="240"/>
        <w:ind w:right="-576"/>
        <w:rPr>
          <w:rFonts w:ascii="Arial" w:eastAsia="Arial" w:hAnsi="Arial" w:cs="Arial"/>
          <w:color w:val="000000"/>
          <w:sz w:val="20"/>
          <w:szCs w:val="20"/>
          <w:u w:val="single"/>
        </w:rPr>
      </w:pPr>
    </w:p>
    <w:p w:rsidR="008624BA" w:rsidRDefault="00D91481">
      <w:pPr>
        <w:numPr>
          <w:ilvl w:val="0"/>
          <w:numId w:val="2"/>
        </w:numPr>
        <w:pBdr>
          <w:top w:val="nil"/>
          <w:left w:val="nil"/>
          <w:bottom w:val="nil"/>
          <w:right w:val="nil"/>
          <w:between w:val="nil"/>
        </w:pBdr>
        <w:spacing w:after="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Develop an energy baseline (</w:t>
      </w:r>
      <w:proofErr w:type="spellStart"/>
      <w:r>
        <w:rPr>
          <w:rFonts w:ascii="Arial" w:eastAsia="Arial" w:hAnsi="Arial" w:cs="Arial"/>
          <w:color w:val="000000"/>
          <w:sz w:val="20"/>
          <w:szCs w:val="20"/>
          <w:u w:val="single"/>
        </w:rPr>
        <w:t>EnB</w:t>
      </w:r>
      <w:proofErr w:type="spellEnd"/>
      <w:r>
        <w:rPr>
          <w:rFonts w:ascii="Arial" w:eastAsia="Arial" w:hAnsi="Arial" w:cs="Arial"/>
          <w:color w:val="000000"/>
          <w:sz w:val="20"/>
          <w:szCs w:val="20"/>
          <w:u w:val="single"/>
        </w:rPr>
        <w:t xml:space="preserve">) for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in order to later determine energy performance improvement.</w:t>
      </w:r>
    </w:p>
    <w:p w:rsidR="008624BA" w:rsidRDefault="008624BA">
      <w:pPr>
        <w:pBdr>
          <w:top w:val="nil"/>
          <w:left w:val="nil"/>
          <w:bottom w:val="nil"/>
          <w:right w:val="nil"/>
          <w:between w:val="nil"/>
        </w:pBdr>
        <w:ind w:left="720"/>
        <w:rPr>
          <w:rFonts w:ascii="Arial" w:eastAsia="Arial" w:hAnsi="Arial" w:cs="Arial"/>
          <w:color w:val="000000"/>
          <w:sz w:val="20"/>
          <w:szCs w:val="20"/>
          <w:u w:val="single"/>
        </w:rPr>
      </w:pPr>
    </w:p>
    <w:p w:rsidR="008624BA" w:rsidRDefault="00D91481">
      <w:pPr>
        <w:keepNext/>
        <w:spacing w:after="120" w:line="240" w:lineRule="auto"/>
        <w:ind w:right="-576" w:hanging="634"/>
        <w:rPr>
          <w:rFonts w:ascii="Arial" w:eastAsia="Arial" w:hAnsi="Arial" w:cs="Arial"/>
          <w:color w:val="000000"/>
          <w:sz w:val="20"/>
          <w:szCs w:val="20"/>
        </w:rPr>
      </w:pPr>
      <w:r>
        <w:rPr>
          <w:rFonts w:ascii="Arial" w:eastAsia="Arial" w:hAnsi="Arial" w:cs="Arial"/>
          <w:color w:val="000000"/>
          <w:sz w:val="20"/>
          <w:szCs w:val="20"/>
        </w:rPr>
        <w:t xml:space="preserve">Providing responses to the questions below can help in identifying the relevant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for the established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w:t>
      </w:r>
    </w:p>
    <w:tbl>
      <w:tblPr>
        <w:tblStyle w:val="a3"/>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4531"/>
        <w:gridCol w:w="5670"/>
      </w:tblGrid>
      <w:tr w:rsidR="008624BA">
        <w:trPr>
          <w:trHeight w:val="215"/>
        </w:trPr>
        <w:tc>
          <w:tcPr>
            <w:tcW w:w="509" w:type="dxa"/>
            <w:vAlign w:val="center"/>
          </w:tcPr>
          <w:p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rsidR="008624BA" w:rsidRDefault="00D91481">
            <w:pPr>
              <w:keepNext/>
              <w:spacing w:after="240" w:line="240" w:lineRule="auto"/>
              <w:ind w:right="-113"/>
              <w:rPr>
                <w:rFonts w:ascii="Arial" w:eastAsia="Arial" w:hAnsi="Arial" w:cs="Arial"/>
                <w:color w:val="000000"/>
                <w:sz w:val="20"/>
                <w:szCs w:val="20"/>
              </w:rPr>
            </w:pPr>
            <w:r>
              <w:rPr>
                <w:rFonts w:ascii="Arial" w:eastAsia="Arial" w:hAnsi="Arial" w:cs="Arial"/>
                <w:color w:val="000000"/>
                <w:sz w:val="20"/>
                <w:szCs w:val="20"/>
              </w:rPr>
              <w:t xml:space="preserve">How will each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be used for evaluating energy performance? Is there a logical </w:t>
            </w:r>
            <w:proofErr w:type="spellStart"/>
            <w:r>
              <w:rPr>
                <w:rFonts w:ascii="Arial" w:eastAsia="Arial" w:hAnsi="Arial" w:cs="Arial"/>
                <w:color w:val="000000"/>
                <w:sz w:val="20"/>
                <w:szCs w:val="20"/>
              </w:rPr>
              <w:t>EnB</w:t>
            </w:r>
            <w:proofErr w:type="spellEnd"/>
            <w:r>
              <w:rPr>
                <w:rFonts w:ascii="Arial" w:eastAsia="Arial" w:hAnsi="Arial" w:cs="Arial"/>
                <w:color w:val="000000"/>
                <w:sz w:val="20"/>
                <w:szCs w:val="20"/>
              </w:rPr>
              <w:t xml:space="preserve"> for each?</w:t>
            </w:r>
          </w:p>
        </w:tc>
        <w:tc>
          <w:tcPr>
            <w:tcW w:w="5670" w:type="dxa"/>
            <w:vAlign w:val="center"/>
          </w:tcPr>
          <w:p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We use an established baseline over the period pre-2020 to determine how significant a deviation either up or down we would observe. We use our current methods for measuring at first but most likely expand to a more detailed way to gather the data.</w:t>
            </w:r>
          </w:p>
        </w:tc>
      </w:tr>
      <w:tr w:rsidR="008624BA">
        <w:trPr>
          <w:trHeight w:val="215"/>
        </w:trPr>
        <w:tc>
          <w:tcPr>
            <w:tcW w:w="509" w:type="dxa"/>
            <w:vAlign w:val="center"/>
          </w:tcPr>
          <w:p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rsidR="008624BA" w:rsidRDefault="00D91481">
            <w:pPr>
              <w:keepNext/>
              <w:spacing w:after="240" w:line="240" w:lineRule="auto"/>
              <w:ind w:right="-107"/>
              <w:rPr>
                <w:rFonts w:ascii="Arial" w:eastAsia="Arial" w:hAnsi="Arial" w:cs="Arial"/>
                <w:color w:val="000000"/>
                <w:sz w:val="20"/>
                <w:szCs w:val="20"/>
              </w:rPr>
            </w:pPr>
            <w:r>
              <w:rPr>
                <w:rFonts w:ascii="Arial" w:eastAsia="Arial" w:hAnsi="Arial" w:cs="Arial"/>
                <w:color w:val="000000"/>
                <w:sz w:val="20"/>
                <w:szCs w:val="20"/>
              </w:rPr>
              <w:t>What are the historical changes to facilities, equipment, systems, processes, or organization that would change how energy performance is evaluated?</w:t>
            </w:r>
          </w:p>
        </w:tc>
        <w:tc>
          <w:tcPr>
            <w:tcW w:w="5670" w:type="dxa"/>
            <w:vAlign w:val="center"/>
          </w:tcPr>
          <w:p w:rsidR="008624BA" w:rsidRDefault="00D91481">
            <w:pPr>
              <w:keepNext/>
              <w:spacing w:before="50" w:after="50" w:line="240" w:lineRule="auto"/>
              <w:rPr>
                <w:rFonts w:ascii="Arial" w:eastAsia="Arial" w:hAnsi="Arial" w:cs="Arial"/>
                <w:color w:val="0000FF"/>
                <w:sz w:val="20"/>
                <w:szCs w:val="20"/>
              </w:rPr>
            </w:pPr>
            <w:bookmarkStart w:id="4" w:name="_heading=h.3znysh7" w:colFirst="0" w:colLast="0"/>
            <w:bookmarkEnd w:id="4"/>
            <w:r>
              <w:rPr>
                <w:rFonts w:ascii="Arial" w:eastAsia="Arial" w:hAnsi="Arial" w:cs="Arial"/>
                <w:color w:val="0000FF"/>
                <w:sz w:val="20"/>
                <w:szCs w:val="20"/>
              </w:rPr>
              <w:t xml:space="preserve">We start with an “average” year (2019) as the </w:t>
            </w:r>
            <w:proofErr w:type="spellStart"/>
            <w:r>
              <w:rPr>
                <w:rFonts w:ascii="Arial" w:eastAsia="Arial" w:hAnsi="Arial" w:cs="Arial"/>
                <w:color w:val="0000FF"/>
                <w:sz w:val="20"/>
                <w:szCs w:val="20"/>
              </w:rPr>
              <w:t>EnB</w:t>
            </w:r>
            <w:proofErr w:type="spellEnd"/>
            <w:r>
              <w:rPr>
                <w:rFonts w:ascii="Arial" w:eastAsia="Arial" w:hAnsi="Arial" w:cs="Arial"/>
                <w:color w:val="0000FF"/>
                <w:sz w:val="20"/>
                <w:szCs w:val="20"/>
              </w:rPr>
              <w:t xml:space="preserve">, but pandemic-related business disruptions may require future adjustments to the </w:t>
            </w:r>
            <w:proofErr w:type="spellStart"/>
            <w:r>
              <w:rPr>
                <w:rFonts w:ascii="Arial" w:eastAsia="Arial" w:hAnsi="Arial" w:cs="Arial"/>
                <w:color w:val="0000FF"/>
                <w:sz w:val="20"/>
                <w:szCs w:val="20"/>
              </w:rPr>
              <w:t>EnB</w:t>
            </w:r>
            <w:proofErr w:type="spellEnd"/>
            <w:r>
              <w:rPr>
                <w:rFonts w:ascii="Arial" w:eastAsia="Arial" w:hAnsi="Arial" w:cs="Arial"/>
                <w:color w:val="0000FF"/>
                <w:sz w:val="20"/>
                <w:szCs w:val="20"/>
              </w:rPr>
              <w:t>. Different ways of doing business, ventilation requirements, and changes to CDC guidelines or even statutes may create a new baseline that would be used moving forward.</w:t>
            </w:r>
          </w:p>
        </w:tc>
      </w:tr>
      <w:tr w:rsidR="008624BA">
        <w:trPr>
          <w:trHeight w:val="215"/>
        </w:trPr>
        <w:tc>
          <w:tcPr>
            <w:tcW w:w="509" w:type="dxa"/>
            <w:vAlign w:val="center"/>
          </w:tcPr>
          <w:p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rsidR="008624BA" w:rsidRDefault="00D91481">
            <w:pPr>
              <w:keepNext/>
              <w:spacing w:after="240" w:line="240" w:lineRule="auto"/>
              <w:ind w:right="-107"/>
              <w:rPr>
                <w:rFonts w:ascii="Arial" w:eastAsia="Arial" w:hAnsi="Arial" w:cs="Arial"/>
                <w:color w:val="000000"/>
                <w:sz w:val="20"/>
                <w:szCs w:val="20"/>
              </w:rPr>
            </w:pPr>
            <w:r>
              <w:rPr>
                <w:rFonts w:ascii="Arial" w:eastAsia="Arial" w:hAnsi="Arial" w:cs="Arial"/>
                <w:color w:val="000000"/>
                <w:sz w:val="20"/>
                <w:szCs w:val="20"/>
              </w:rPr>
              <w:t xml:space="preserve">What stakeholder interests should be considered when establishing </w:t>
            </w:r>
            <w:proofErr w:type="spellStart"/>
            <w:r>
              <w:rPr>
                <w:rFonts w:ascii="Arial" w:eastAsia="Arial" w:hAnsi="Arial" w:cs="Arial"/>
                <w:color w:val="000000"/>
                <w:sz w:val="20"/>
                <w:szCs w:val="20"/>
              </w:rPr>
              <w:t>EnB</w:t>
            </w:r>
            <w:proofErr w:type="spellEnd"/>
            <w:r>
              <w:rPr>
                <w:rFonts w:ascii="Arial" w:eastAsia="Arial" w:hAnsi="Arial" w:cs="Arial"/>
                <w:color w:val="000000"/>
                <w:sz w:val="20"/>
                <w:szCs w:val="20"/>
              </w:rPr>
              <w:t xml:space="preserve"> for the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w:t>
            </w:r>
          </w:p>
        </w:tc>
        <w:tc>
          <w:tcPr>
            <w:tcW w:w="5670" w:type="dxa"/>
            <w:vAlign w:val="center"/>
          </w:tcPr>
          <w:p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Financial. Quality of guest experience. Adhering to local guidelines. Avoiding union issues and keeping colleague involvement and experience high.</w:t>
            </w:r>
          </w:p>
        </w:tc>
      </w:tr>
      <w:tr w:rsidR="008624BA">
        <w:trPr>
          <w:trHeight w:val="215"/>
        </w:trPr>
        <w:tc>
          <w:tcPr>
            <w:tcW w:w="509" w:type="dxa"/>
            <w:vAlign w:val="center"/>
          </w:tcPr>
          <w:p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rsidR="008624BA" w:rsidRDefault="00D91481">
            <w:pPr>
              <w:keepNext/>
              <w:spacing w:after="240" w:line="240" w:lineRule="auto"/>
              <w:ind w:right="-107"/>
              <w:rPr>
                <w:rFonts w:ascii="Arial" w:eastAsia="Arial" w:hAnsi="Arial" w:cs="Arial"/>
                <w:color w:val="000000"/>
                <w:sz w:val="20"/>
                <w:szCs w:val="20"/>
              </w:rPr>
            </w:pPr>
            <w:r>
              <w:rPr>
                <w:rFonts w:ascii="Arial" w:eastAsia="Arial" w:hAnsi="Arial" w:cs="Arial"/>
                <w:color w:val="000000"/>
                <w:sz w:val="20"/>
                <w:szCs w:val="20"/>
              </w:rPr>
              <w:t xml:space="preserve">Are there strategic initiatives that would be measured or influenced by one or more of the established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Is there an </w:t>
            </w:r>
            <w:proofErr w:type="spellStart"/>
            <w:r>
              <w:rPr>
                <w:rFonts w:ascii="Arial" w:eastAsia="Arial" w:hAnsi="Arial" w:cs="Arial"/>
                <w:color w:val="000000"/>
                <w:sz w:val="20"/>
                <w:szCs w:val="20"/>
              </w:rPr>
              <w:t>EnB</w:t>
            </w:r>
            <w:proofErr w:type="spellEnd"/>
            <w:r>
              <w:rPr>
                <w:rFonts w:ascii="Arial" w:eastAsia="Arial" w:hAnsi="Arial" w:cs="Arial"/>
                <w:color w:val="000000"/>
                <w:sz w:val="20"/>
                <w:szCs w:val="20"/>
              </w:rPr>
              <w:t xml:space="preserve"> associated with these strategic initiatives?</w:t>
            </w:r>
          </w:p>
        </w:tc>
        <w:tc>
          <w:tcPr>
            <w:tcW w:w="5670" w:type="dxa"/>
            <w:vAlign w:val="center"/>
          </w:tcPr>
          <w:p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None identified at this time</w:t>
            </w:r>
            <w:r w:rsidR="000635A5">
              <w:rPr>
                <w:rFonts w:ascii="Arial" w:eastAsia="Arial" w:hAnsi="Arial" w:cs="Arial"/>
                <w:color w:val="0000FF"/>
                <w:sz w:val="20"/>
                <w:szCs w:val="20"/>
              </w:rPr>
              <w:t>.</w:t>
            </w:r>
          </w:p>
        </w:tc>
      </w:tr>
      <w:tr w:rsidR="008624BA">
        <w:trPr>
          <w:trHeight w:val="215"/>
        </w:trPr>
        <w:tc>
          <w:tcPr>
            <w:tcW w:w="509" w:type="dxa"/>
            <w:vAlign w:val="center"/>
          </w:tcPr>
          <w:p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531" w:type="dxa"/>
            <w:vAlign w:val="center"/>
          </w:tcPr>
          <w:p w:rsidR="008624BA" w:rsidRDefault="00D91481">
            <w:pPr>
              <w:keepNext/>
              <w:spacing w:after="240" w:line="240" w:lineRule="auto"/>
              <w:ind w:right="-107"/>
              <w:rPr>
                <w:rFonts w:ascii="Arial" w:eastAsia="Arial" w:hAnsi="Arial" w:cs="Arial"/>
                <w:color w:val="000000"/>
                <w:sz w:val="20"/>
                <w:szCs w:val="20"/>
              </w:rPr>
            </w:pPr>
            <w:r>
              <w:rPr>
                <w:rFonts w:ascii="Arial" w:eastAsia="Arial" w:hAnsi="Arial" w:cs="Arial"/>
                <w:color w:val="000000"/>
                <w:sz w:val="20"/>
                <w:szCs w:val="20"/>
              </w:rPr>
              <w:t xml:space="preserve">What are the historical periods that have reliable, consistent data for the established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w:t>
            </w:r>
          </w:p>
        </w:tc>
        <w:tc>
          <w:tcPr>
            <w:tcW w:w="5670" w:type="dxa"/>
            <w:vAlign w:val="center"/>
          </w:tcPr>
          <w:p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We have historical data regarding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dating back to 2011. We are unlikely to use the data from 2020 and possibly 2021 due to the atypical occupancy rates and energy consumption due to the pandemic. While the records are accurate, they do not reflect a standard year of normal operations.</w:t>
            </w:r>
          </w:p>
        </w:tc>
      </w:tr>
    </w:tbl>
    <w:p w:rsidR="008624BA" w:rsidRDefault="008624BA">
      <w:pPr>
        <w:spacing w:after="240"/>
        <w:ind w:right="-576"/>
        <w:rPr>
          <w:rFonts w:ascii="Arial" w:eastAsia="Arial" w:hAnsi="Arial" w:cs="Arial"/>
          <w:color w:val="000000"/>
          <w:sz w:val="20"/>
          <w:szCs w:val="20"/>
          <w:u w:val="single"/>
        </w:rPr>
      </w:pPr>
    </w:p>
    <w:p w:rsidR="008624BA" w:rsidRDefault="00D91481">
      <w:pPr>
        <w:numPr>
          <w:ilvl w:val="0"/>
          <w:numId w:val="2"/>
        </w:numPr>
        <w:pBdr>
          <w:top w:val="nil"/>
          <w:left w:val="nil"/>
          <w:bottom w:val="nil"/>
          <w:right w:val="nil"/>
          <w:between w:val="nil"/>
        </w:pBdr>
        <w:spacing w:after="0"/>
        <w:ind w:right="-576"/>
        <w:rPr>
          <w:rFonts w:ascii="Arial" w:eastAsia="Arial" w:hAnsi="Arial" w:cs="Arial"/>
          <w:color w:val="000000"/>
          <w:sz w:val="20"/>
          <w:szCs w:val="20"/>
          <w:u w:val="single"/>
        </w:rPr>
      </w:pPr>
      <w:r>
        <w:rPr>
          <w:rFonts w:ascii="Arial" w:eastAsia="Arial" w:hAnsi="Arial" w:cs="Arial"/>
          <w:color w:val="000000"/>
          <w:sz w:val="20"/>
          <w:szCs w:val="20"/>
          <w:u w:val="single"/>
        </w:rPr>
        <w:t xml:space="preserve">Communicate proposed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and </w:t>
      </w:r>
      <w:proofErr w:type="spellStart"/>
      <w:r>
        <w:rPr>
          <w:rFonts w:ascii="Arial" w:eastAsia="Arial" w:hAnsi="Arial" w:cs="Arial"/>
          <w:color w:val="000000"/>
          <w:sz w:val="20"/>
          <w:szCs w:val="20"/>
          <w:u w:val="single"/>
        </w:rPr>
        <w:t>EnBs</w:t>
      </w:r>
      <w:proofErr w:type="spellEnd"/>
      <w:r>
        <w:rPr>
          <w:rFonts w:ascii="Arial" w:eastAsia="Arial" w:hAnsi="Arial" w:cs="Arial"/>
          <w:color w:val="000000"/>
          <w:sz w:val="20"/>
          <w:szCs w:val="20"/>
          <w:u w:val="single"/>
        </w:rPr>
        <w:t xml:space="preserve"> to top management so they can ensure the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and </w:t>
      </w:r>
      <w:proofErr w:type="spellStart"/>
      <w:r>
        <w:rPr>
          <w:rFonts w:ascii="Arial" w:eastAsia="Arial" w:hAnsi="Arial" w:cs="Arial"/>
          <w:color w:val="000000"/>
          <w:sz w:val="20"/>
          <w:szCs w:val="20"/>
          <w:u w:val="single"/>
        </w:rPr>
        <w:t>EnBs</w:t>
      </w:r>
      <w:proofErr w:type="spellEnd"/>
      <w:r>
        <w:rPr>
          <w:rFonts w:ascii="Arial" w:eastAsia="Arial" w:hAnsi="Arial" w:cs="Arial"/>
          <w:color w:val="000000"/>
          <w:sz w:val="20"/>
          <w:szCs w:val="20"/>
          <w:u w:val="single"/>
        </w:rPr>
        <w:t xml:space="preserve"> are appropriate for the organization.</w:t>
      </w:r>
    </w:p>
    <w:p w:rsidR="008624BA" w:rsidRDefault="008624BA">
      <w:pPr>
        <w:pBdr>
          <w:top w:val="nil"/>
          <w:left w:val="nil"/>
          <w:bottom w:val="nil"/>
          <w:right w:val="nil"/>
          <w:between w:val="nil"/>
        </w:pBdr>
        <w:spacing w:after="240"/>
        <w:ind w:left="-446" w:right="-576"/>
        <w:rPr>
          <w:rFonts w:ascii="Arial" w:eastAsia="Arial" w:hAnsi="Arial" w:cs="Arial"/>
          <w:color w:val="000000"/>
          <w:sz w:val="20"/>
          <w:szCs w:val="20"/>
          <w:u w:val="single"/>
        </w:rPr>
      </w:pPr>
    </w:p>
    <w:p w:rsidR="008624BA" w:rsidRDefault="00D91481">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 xml:space="preserve">☒ Identified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have been approved by top management.</w:t>
      </w:r>
    </w:p>
    <w:tbl>
      <w:tblPr>
        <w:tblStyle w:val="a4"/>
        <w:tblW w:w="9661"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7591"/>
      </w:tblGrid>
      <w:tr w:rsidR="008624BA">
        <w:trPr>
          <w:trHeight w:val="242"/>
        </w:trPr>
        <w:tc>
          <w:tcPr>
            <w:tcW w:w="2070" w:type="dxa"/>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Who approved?</w:t>
            </w:r>
          </w:p>
        </w:tc>
        <w:tc>
          <w:tcPr>
            <w:tcW w:w="7591" w:type="dxa"/>
          </w:tcPr>
          <w:p w:rsidR="008624BA" w:rsidRDefault="00D91481">
            <w:pPr>
              <w:spacing w:before="50" w:after="50" w:line="240" w:lineRule="auto"/>
              <w:ind w:right="99"/>
              <w:rPr>
                <w:rFonts w:ascii="Arial" w:eastAsia="Arial" w:hAnsi="Arial" w:cs="Arial"/>
                <w:color w:val="0000FF"/>
                <w:sz w:val="20"/>
                <w:szCs w:val="20"/>
              </w:rPr>
            </w:pPr>
            <w:r>
              <w:rPr>
                <w:rFonts w:ascii="Arial" w:eastAsia="Arial" w:hAnsi="Arial" w:cs="Arial"/>
                <w:color w:val="0000FF"/>
                <w:sz w:val="20"/>
                <w:szCs w:val="20"/>
              </w:rPr>
              <w:t>General Manager</w:t>
            </w:r>
          </w:p>
        </w:tc>
      </w:tr>
      <w:tr w:rsidR="008624BA">
        <w:trPr>
          <w:trHeight w:val="179"/>
        </w:trPr>
        <w:tc>
          <w:tcPr>
            <w:tcW w:w="2070" w:type="dxa"/>
            <w:vAlign w:val="center"/>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When approved?</w:t>
            </w:r>
          </w:p>
        </w:tc>
        <w:tc>
          <w:tcPr>
            <w:tcW w:w="7591" w:type="dxa"/>
            <w:vAlign w:val="center"/>
          </w:tcPr>
          <w:p w:rsidR="008624BA" w:rsidRDefault="00D91481">
            <w:pPr>
              <w:spacing w:before="50" w:after="50" w:line="240" w:lineRule="auto"/>
              <w:ind w:right="99"/>
              <w:rPr>
                <w:rFonts w:ascii="Arial" w:eastAsia="Arial" w:hAnsi="Arial" w:cs="Arial"/>
                <w:color w:val="0000FF"/>
                <w:sz w:val="20"/>
                <w:szCs w:val="20"/>
              </w:rPr>
            </w:pPr>
            <w:r>
              <w:rPr>
                <w:rFonts w:ascii="Arial" w:eastAsia="Arial" w:hAnsi="Arial" w:cs="Arial"/>
                <w:color w:val="0000FF"/>
                <w:sz w:val="20"/>
                <w:szCs w:val="20"/>
              </w:rPr>
              <w:t>5/15/21</w:t>
            </w:r>
          </w:p>
        </w:tc>
      </w:tr>
    </w:tbl>
    <w:p w:rsidR="008624BA" w:rsidRDefault="008624BA">
      <w:pPr>
        <w:pBdr>
          <w:top w:val="nil"/>
          <w:left w:val="nil"/>
          <w:bottom w:val="nil"/>
          <w:right w:val="nil"/>
          <w:between w:val="nil"/>
        </w:pBdr>
        <w:spacing w:after="0"/>
        <w:ind w:left="-446" w:right="-576"/>
        <w:rPr>
          <w:rFonts w:ascii="Arial" w:eastAsia="Arial" w:hAnsi="Arial" w:cs="Arial"/>
          <w:color w:val="000000"/>
          <w:sz w:val="20"/>
          <w:szCs w:val="20"/>
          <w:u w:val="single"/>
        </w:rPr>
      </w:pPr>
    </w:p>
    <w:p w:rsidR="008624BA" w:rsidRDefault="00D91481">
      <w:pPr>
        <w:numPr>
          <w:ilvl w:val="0"/>
          <w:numId w:val="2"/>
        </w:numPr>
        <w:pBdr>
          <w:top w:val="nil"/>
          <w:left w:val="nil"/>
          <w:bottom w:val="nil"/>
          <w:right w:val="nil"/>
          <w:between w:val="nil"/>
        </w:pBdr>
        <w:spacing w:after="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 xml:space="preserve">Record and regularly review the method used to determine and update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and establish the conditions under which adjustments to the baseline(s) will be made.</w:t>
      </w:r>
    </w:p>
    <w:p w:rsidR="008624BA" w:rsidRDefault="008624BA">
      <w:pPr>
        <w:pBdr>
          <w:top w:val="nil"/>
          <w:left w:val="nil"/>
          <w:bottom w:val="nil"/>
          <w:right w:val="nil"/>
          <w:between w:val="nil"/>
        </w:pBdr>
        <w:spacing w:after="0"/>
        <w:ind w:left="720"/>
        <w:rPr>
          <w:rFonts w:ascii="Arial" w:eastAsia="Arial" w:hAnsi="Arial" w:cs="Arial"/>
          <w:color w:val="000000"/>
          <w:sz w:val="20"/>
          <w:szCs w:val="20"/>
          <w:u w:val="single"/>
        </w:rPr>
      </w:pPr>
    </w:p>
    <w:p w:rsidR="008624BA" w:rsidRDefault="00D91481">
      <w:pPr>
        <w:pBdr>
          <w:top w:val="nil"/>
          <w:left w:val="nil"/>
          <w:bottom w:val="nil"/>
          <w:right w:val="nil"/>
          <w:between w:val="nil"/>
        </w:pBdr>
        <w:spacing w:after="120"/>
        <w:ind w:left="-274" w:right="-446" w:hanging="446"/>
        <w:rPr>
          <w:rFonts w:ascii="Arial" w:eastAsia="Arial" w:hAnsi="Arial" w:cs="Arial"/>
          <w:color w:val="000000"/>
          <w:sz w:val="20"/>
          <w:szCs w:val="20"/>
        </w:rPr>
      </w:pPr>
      <w:bookmarkStart w:id="5" w:name="bookmark=id.2et92p0" w:colFirst="0" w:colLast="0"/>
      <w:bookmarkEnd w:id="5"/>
      <w:r>
        <w:rPr>
          <w:rFonts w:ascii="Arial" w:eastAsia="Arial" w:hAnsi="Arial" w:cs="Arial"/>
          <w:color w:val="000000"/>
          <w:sz w:val="20"/>
          <w:szCs w:val="20"/>
        </w:rPr>
        <w:t xml:space="preserve">☒ We maintain documented information on the methods we use to determine and update our organization’s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w:t>
      </w:r>
    </w:p>
    <w:tbl>
      <w:tblPr>
        <w:tblStyle w:val="a5"/>
        <w:tblW w:w="9661"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981"/>
      </w:tblGrid>
      <w:tr w:rsidR="008624BA">
        <w:trPr>
          <w:trHeight w:val="242"/>
        </w:trPr>
        <w:tc>
          <w:tcPr>
            <w:tcW w:w="4680" w:type="dxa"/>
          </w:tcPr>
          <w:p w:rsidR="008624BA" w:rsidRDefault="00D91481">
            <w:pPr>
              <w:spacing w:before="50" w:after="50" w:line="240" w:lineRule="auto"/>
              <w:ind w:right="-109"/>
              <w:rPr>
                <w:rFonts w:ascii="Arial" w:eastAsia="Arial" w:hAnsi="Arial" w:cs="Arial"/>
                <w:color w:val="000000"/>
                <w:sz w:val="20"/>
                <w:szCs w:val="20"/>
              </w:rPr>
            </w:pPr>
            <w:r>
              <w:rPr>
                <w:rFonts w:ascii="Arial" w:eastAsia="Arial" w:hAnsi="Arial" w:cs="Arial"/>
                <w:color w:val="000000"/>
                <w:sz w:val="20"/>
                <w:szCs w:val="20"/>
              </w:rPr>
              <w:t>Who maintains the documented information?</w:t>
            </w:r>
          </w:p>
        </w:tc>
        <w:tc>
          <w:tcPr>
            <w:tcW w:w="4981" w:type="dxa"/>
          </w:tcPr>
          <w:p w:rsidR="008624BA" w:rsidRDefault="00D91481">
            <w:pPr>
              <w:spacing w:before="50" w:after="50" w:line="240" w:lineRule="auto"/>
              <w:ind w:right="9"/>
              <w:rPr>
                <w:rFonts w:ascii="Arial" w:eastAsia="Arial" w:hAnsi="Arial" w:cs="Arial"/>
                <w:color w:val="0000FF"/>
                <w:sz w:val="20"/>
                <w:szCs w:val="20"/>
              </w:rPr>
            </w:pPr>
            <w:r>
              <w:rPr>
                <w:rFonts w:ascii="Arial" w:eastAsia="Arial" w:hAnsi="Arial" w:cs="Arial"/>
                <w:color w:val="0000FF"/>
                <w:sz w:val="20"/>
                <w:szCs w:val="20"/>
              </w:rPr>
              <w:t>Engineering Management</w:t>
            </w:r>
          </w:p>
        </w:tc>
      </w:tr>
      <w:tr w:rsidR="008624BA">
        <w:trPr>
          <w:trHeight w:val="242"/>
        </w:trPr>
        <w:tc>
          <w:tcPr>
            <w:tcW w:w="4680" w:type="dxa"/>
          </w:tcPr>
          <w:p w:rsidR="008624BA" w:rsidRDefault="00D91481">
            <w:pPr>
              <w:spacing w:before="50" w:after="50" w:line="240" w:lineRule="auto"/>
              <w:ind w:right="-109"/>
              <w:rPr>
                <w:rFonts w:ascii="Arial" w:eastAsia="Arial" w:hAnsi="Arial" w:cs="Arial"/>
                <w:color w:val="000000"/>
                <w:sz w:val="20"/>
                <w:szCs w:val="20"/>
              </w:rPr>
            </w:pPr>
            <w:r>
              <w:rPr>
                <w:rFonts w:ascii="Arial" w:eastAsia="Arial" w:hAnsi="Arial" w:cs="Arial"/>
                <w:color w:val="000000"/>
                <w:sz w:val="20"/>
                <w:szCs w:val="20"/>
              </w:rPr>
              <w:lastRenderedPageBreak/>
              <w:t>Where are these records maintained (e.g. energy manual or energy planning procedure)?</w:t>
            </w:r>
          </w:p>
        </w:tc>
        <w:tc>
          <w:tcPr>
            <w:tcW w:w="4981" w:type="dxa"/>
          </w:tcPr>
          <w:p w:rsidR="008624BA" w:rsidRDefault="00D91481">
            <w:pPr>
              <w:spacing w:before="50" w:after="50" w:line="240" w:lineRule="auto"/>
              <w:ind w:right="9"/>
              <w:rPr>
                <w:rFonts w:ascii="Arial" w:eastAsia="Arial" w:hAnsi="Arial" w:cs="Arial"/>
                <w:color w:val="0000FF"/>
                <w:sz w:val="20"/>
                <w:szCs w:val="20"/>
              </w:rPr>
            </w:pPr>
            <w:r>
              <w:rPr>
                <w:rFonts w:ascii="Arial" w:eastAsia="Arial" w:hAnsi="Arial" w:cs="Arial"/>
                <w:color w:val="0000FF"/>
                <w:sz w:val="20"/>
                <w:szCs w:val="20"/>
              </w:rPr>
              <w:t>link to shared Engineering folder on network drive</w:t>
            </w:r>
          </w:p>
        </w:tc>
      </w:tr>
    </w:tbl>
    <w:p w:rsidR="008624BA" w:rsidRDefault="008624BA">
      <w:pPr>
        <w:spacing w:after="240"/>
        <w:ind w:right="-576"/>
        <w:rPr>
          <w:rFonts w:ascii="Arial" w:eastAsia="Arial" w:hAnsi="Arial" w:cs="Arial"/>
          <w:color w:val="000000"/>
          <w:sz w:val="20"/>
          <w:szCs w:val="20"/>
          <w:u w:val="single"/>
        </w:rPr>
      </w:pPr>
    </w:p>
    <w:tbl>
      <w:tblPr>
        <w:tblStyle w:val="a6"/>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421"/>
        <w:gridCol w:w="3780"/>
      </w:tblGrid>
      <w:tr w:rsidR="008624BA">
        <w:trPr>
          <w:trHeight w:val="242"/>
        </w:trPr>
        <w:tc>
          <w:tcPr>
            <w:tcW w:w="509" w:type="dxa"/>
          </w:tcPr>
          <w:p w:rsidR="008624BA" w:rsidRDefault="00D91481">
            <w:pPr>
              <w:spacing w:before="50" w:after="50" w:line="240" w:lineRule="auto"/>
              <w:ind w:right="-720"/>
              <w:rPr>
                <w:rFonts w:ascii="Arial" w:eastAsia="Arial" w:hAnsi="Arial" w:cs="Arial"/>
                <w:color w:val="000000"/>
                <w:sz w:val="20"/>
                <w:szCs w:val="20"/>
              </w:rPr>
            </w:pPr>
            <w:bookmarkStart w:id="6" w:name="bookmark=id.tyjcwt" w:colFirst="0" w:colLast="0"/>
            <w:bookmarkEnd w:id="6"/>
            <w:r>
              <w:rPr>
                <w:rFonts w:ascii="Arial" w:eastAsia="Arial" w:hAnsi="Arial" w:cs="Arial"/>
                <w:color w:val="000000"/>
                <w:sz w:val="20"/>
                <w:szCs w:val="20"/>
              </w:rPr>
              <w:t>☒</w:t>
            </w:r>
          </w:p>
        </w:tc>
        <w:tc>
          <w:tcPr>
            <w:tcW w:w="6421" w:type="dxa"/>
          </w:tcPr>
          <w:p w:rsidR="008624BA" w:rsidRDefault="00D91481">
            <w:pPr>
              <w:spacing w:before="50" w:after="50" w:line="240" w:lineRule="auto"/>
              <w:ind w:right="-109"/>
              <w:rPr>
                <w:rFonts w:ascii="Arial" w:eastAsia="Arial" w:hAnsi="Arial" w:cs="Arial"/>
                <w:color w:val="000000"/>
                <w:sz w:val="20"/>
                <w:szCs w:val="20"/>
              </w:rPr>
            </w:pPr>
            <w:r>
              <w:rPr>
                <w:rFonts w:ascii="Arial" w:eastAsia="Arial" w:hAnsi="Arial" w:cs="Arial"/>
                <w:color w:val="000000"/>
                <w:sz w:val="20"/>
                <w:szCs w:val="20"/>
              </w:rPr>
              <w:t xml:space="preserve">We evaluate any changes in facilities, equipment, systems, processes, operating procedures, materials, relevant variables, and many other factors. We adjust the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as necessary.</w:t>
            </w:r>
          </w:p>
        </w:tc>
        <w:tc>
          <w:tcPr>
            <w:tcW w:w="3780" w:type="dxa"/>
          </w:tcPr>
          <w:p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 xml:space="preserve">This will be a fluid strategy based on our observations during Green Team meetings, as well as observations from key members as they become more aware of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in their own areas. </w:t>
            </w:r>
          </w:p>
        </w:tc>
      </w:tr>
    </w:tbl>
    <w:p w:rsidR="008624BA" w:rsidRDefault="008624BA">
      <w:pPr>
        <w:spacing w:after="240"/>
        <w:ind w:right="-576"/>
        <w:rPr>
          <w:rFonts w:ascii="Arial" w:eastAsia="Arial" w:hAnsi="Arial" w:cs="Arial"/>
          <w:color w:val="000000"/>
          <w:sz w:val="20"/>
          <w:szCs w:val="20"/>
          <w:u w:val="single"/>
        </w:rPr>
      </w:pPr>
    </w:p>
    <w:p w:rsidR="008624BA" w:rsidRDefault="00D91481">
      <w:pPr>
        <w:numPr>
          <w:ilvl w:val="0"/>
          <w:numId w:val="2"/>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 xml:space="preserve">Compare </w:t>
      </w:r>
      <w:proofErr w:type="spellStart"/>
      <w:r>
        <w:rPr>
          <w:rFonts w:ascii="Arial" w:eastAsia="Arial" w:hAnsi="Arial" w:cs="Arial"/>
          <w:color w:val="000000"/>
          <w:sz w:val="20"/>
          <w:szCs w:val="20"/>
          <w:u w:val="single"/>
        </w:rPr>
        <w:t>EnPI</w:t>
      </w:r>
      <w:proofErr w:type="spellEnd"/>
      <w:r>
        <w:rPr>
          <w:rFonts w:ascii="Arial" w:eastAsia="Arial" w:hAnsi="Arial" w:cs="Arial"/>
          <w:color w:val="000000"/>
          <w:sz w:val="20"/>
          <w:szCs w:val="20"/>
          <w:u w:val="single"/>
        </w:rPr>
        <w:t xml:space="preserve"> values to their respective </w:t>
      </w:r>
      <w:proofErr w:type="spellStart"/>
      <w:r>
        <w:rPr>
          <w:rFonts w:ascii="Arial" w:eastAsia="Arial" w:hAnsi="Arial" w:cs="Arial"/>
          <w:color w:val="000000"/>
          <w:sz w:val="20"/>
          <w:szCs w:val="20"/>
          <w:u w:val="single"/>
        </w:rPr>
        <w:t>EnBs</w:t>
      </w:r>
      <w:proofErr w:type="spellEnd"/>
      <w:r>
        <w:rPr>
          <w:rFonts w:ascii="Arial" w:eastAsia="Arial" w:hAnsi="Arial" w:cs="Arial"/>
          <w:color w:val="000000"/>
          <w:sz w:val="20"/>
          <w:szCs w:val="20"/>
          <w:u w:val="single"/>
        </w:rPr>
        <w:t xml:space="preserve"> on a regular basis.</w:t>
      </w:r>
    </w:p>
    <w:tbl>
      <w:tblPr>
        <w:tblStyle w:val="a7"/>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251"/>
        <w:gridCol w:w="4950"/>
      </w:tblGrid>
      <w:tr w:rsidR="008624BA">
        <w:trPr>
          <w:trHeight w:val="242"/>
        </w:trPr>
        <w:tc>
          <w:tcPr>
            <w:tcW w:w="509" w:type="dxa"/>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51" w:type="dxa"/>
          </w:tcPr>
          <w:p w:rsidR="008624BA" w:rsidRDefault="00D91481">
            <w:pPr>
              <w:spacing w:before="50" w:after="50" w:line="240" w:lineRule="auto"/>
              <w:ind w:right="-20"/>
              <w:rPr>
                <w:rFonts w:ascii="Arial" w:eastAsia="Arial" w:hAnsi="Arial" w:cs="Arial"/>
                <w:color w:val="000000"/>
                <w:sz w:val="20"/>
                <w:szCs w:val="20"/>
              </w:rPr>
            </w:pP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values are reviewed and compared to their respective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as appropriate.</w:t>
            </w:r>
          </w:p>
        </w:tc>
        <w:tc>
          <w:tcPr>
            <w:tcW w:w="4950" w:type="dxa"/>
          </w:tcPr>
          <w:p w:rsidR="008624BA" w:rsidRDefault="00D91481">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Pursuing these values being measured on a year-over-year basis with a pre-COVID year as the baseline. Done during strategy meetings.</w:t>
            </w:r>
          </w:p>
        </w:tc>
      </w:tr>
      <w:tr w:rsidR="008624BA">
        <w:trPr>
          <w:trHeight w:val="242"/>
        </w:trPr>
        <w:tc>
          <w:tcPr>
            <w:tcW w:w="509" w:type="dxa"/>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51" w:type="dxa"/>
          </w:tcPr>
          <w:p w:rsidR="008624BA" w:rsidRDefault="00D91481">
            <w:pPr>
              <w:spacing w:before="50" w:after="50"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Calculated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values and their associated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are retained as documented information and periodically reviewed to determine if adjustments are required. </w:t>
            </w:r>
          </w:p>
        </w:tc>
        <w:tc>
          <w:tcPr>
            <w:tcW w:w="4950" w:type="dxa"/>
          </w:tcPr>
          <w:p w:rsidR="008624BA" w:rsidRDefault="00D91481">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Done when reviewing our current data collection sources. Adjustments would be made when significant deviations are observed but only after determining the cause of the deviation.</w:t>
            </w:r>
          </w:p>
        </w:tc>
      </w:tr>
      <w:tr w:rsidR="008624BA">
        <w:trPr>
          <w:trHeight w:val="242"/>
        </w:trPr>
        <w:tc>
          <w:tcPr>
            <w:tcW w:w="509" w:type="dxa"/>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51" w:type="dxa"/>
          </w:tcPr>
          <w:p w:rsidR="008624BA" w:rsidRDefault="00D91481">
            <w:pPr>
              <w:spacing w:before="50" w:after="50"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We have a process in place where we </w:t>
            </w:r>
            <w:proofErr w:type="gramStart"/>
            <w:r>
              <w:rPr>
                <w:rFonts w:ascii="Arial" w:eastAsia="Arial" w:hAnsi="Arial" w:cs="Arial"/>
                <w:color w:val="000000"/>
                <w:sz w:val="20"/>
                <w:szCs w:val="20"/>
              </w:rPr>
              <w:t>make adjustments to</w:t>
            </w:r>
            <w:proofErr w:type="gramEnd"/>
            <w:r>
              <w:rPr>
                <w:rFonts w:ascii="Arial" w:eastAsia="Arial" w:hAnsi="Arial" w:cs="Arial"/>
                <w:color w:val="000000"/>
                <w:sz w:val="20"/>
                <w:szCs w:val="20"/>
              </w:rPr>
              <w:t xml:space="preserve"> an </w:t>
            </w:r>
            <w:proofErr w:type="spellStart"/>
            <w:r>
              <w:rPr>
                <w:rFonts w:ascii="Arial" w:eastAsia="Arial" w:hAnsi="Arial" w:cs="Arial"/>
                <w:color w:val="000000"/>
                <w:sz w:val="20"/>
                <w:szCs w:val="20"/>
              </w:rPr>
              <w:t>EnB</w:t>
            </w:r>
            <w:proofErr w:type="spellEnd"/>
            <w:r>
              <w:rPr>
                <w:rFonts w:ascii="Arial" w:eastAsia="Arial" w:hAnsi="Arial" w:cs="Arial"/>
                <w:color w:val="000000"/>
                <w:sz w:val="20"/>
                <w:szCs w:val="20"/>
              </w:rPr>
              <w:t xml:space="preserve"> in the following instances:</w:t>
            </w:r>
          </w:p>
          <w:p w:rsidR="008624BA" w:rsidRDefault="00D91481">
            <w:pPr>
              <w:numPr>
                <w:ilvl w:val="0"/>
                <w:numId w:val="1"/>
              </w:numPr>
              <w:pBdr>
                <w:top w:val="nil"/>
                <w:left w:val="nil"/>
                <w:bottom w:val="nil"/>
                <w:right w:val="nil"/>
                <w:between w:val="nil"/>
              </w:pBdr>
              <w:spacing w:before="50" w:after="0" w:line="240" w:lineRule="auto"/>
              <w:ind w:left="459" w:right="-20" w:hanging="270"/>
              <w:rPr>
                <w:rFonts w:ascii="Arial" w:eastAsia="Arial" w:hAnsi="Arial" w:cs="Arial"/>
                <w:color w:val="000000"/>
                <w:sz w:val="20"/>
                <w:szCs w:val="20"/>
              </w:rPr>
            </w:pPr>
            <w:r>
              <w:rPr>
                <w:rFonts w:ascii="Arial" w:eastAsia="Arial" w:hAnsi="Arial" w:cs="Arial"/>
                <w:color w:val="000000"/>
                <w:sz w:val="20"/>
                <w:szCs w:val="20"/>
              </w:rPr>
              <w:t xml:space="preserve">When the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no longer accurately reflect the organization’s energy performance</w:t>
            </w:r>
          </w:p>
          <w:p w:rsidR="008624BA" w:rsidRDefault="00D91481">
            <w:pPr>
              <w:numPr>
                <w:ilvl w:val="0"/>
                <w:numId w:val="1"/>
              </w:numPr>
              <w:pBdr>
                <w:top w:val="nil"/>
                <w:left w:val="nil"/>
                <w:bottom w:val="nil"/>
                <w:right w:val="nil"/>
                <w:between w:val="nil"/>
              </w:pBdr>
              <w:spacing w:after="0" w:line="240" w:lineRule="auto"/>
              <w:ind w:left="459" w:right="-20" w:hanging="270"/>
              <w:rPr>
                <w:rFonts w:ascii="Arial" w:eastAsia="Arial" w:hAnsi="Arial" w:cs="Arial"/>
                <w:color w:val="000000"/>
                <w:sz w:val="20"/>
                <w:szCs w:val="20"/>
              </w:rPr>
            </w:pPr>
            <w:r>
              <w:rPr>
                <w:rFonts w:ascii="Arial" w:eastAsia="Arial" w:hAnsi="Arial" w:cs="Arial"/>
                <w:color w:val="000000"/>
                <w:sz w:val="20"/>
                <w:szCs w:val="20"/>
              </w:rPr>
              <w:t>When there are major changes to static factors, the process, operational patterns, or energy systems</w:t>
            </w:r>
          </w:p>
          <w:p w:rsidR="008624BA" w:rsidRDefault="00D91481">
            <w:pPr>
              <w:numPr>
                <w:ilvl w:val="0"/>
                <w:numId w:val="1"/>
              </w:numPr>
              <w:pBdr>
                <w:top w:val="nil"/>
                <w:left w:val="nil"/>
                <w:bottom w:val="nil"/>
                <w:right w:val="nil"/>
                <w:between w:val="nil"/>
              </w:pBdr>
              <w:spacing w:after="50" w:line="240" w:lineRule="auto"/>
              <w:ind w:left="459" w:right="-20" w:hanging="270"/>
              <w:rPr>
                <w:rFonts w:ascii="Arial" w:eastAsia="Arial" w:hAnsi="Arial" w:cs="Arial"/>
                <w:color w:val="000000"/>
                <w:sz w:val="20"/>
                <w:szCs w:val="20"/>
              </w:rPr>
            </w:pPr>
            <w:r>
              <w:rPr>
                <w:rFonts w:ascii="Arial" w:eastAsia="Arial" w:hAnsi="Arial" w:cs="Arial"/>
                <w:color w:val="000000"/>
                <w:sz w:val="20"/>
                <w:szCs w:val="20"/>
              </w:rPr>
              <w:t>According to a predetermined method</w:t>
            </w:r>
          </w:p>
        </w:tc>
        <w:tc>
          <w:tcPr>
            <w:tcW w:w="4950" w:type="dxa"/>
          </w:tcPr>
          <w:p w:rsidR="008624BA" w:rsidRDefault="00D91481">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We currently have calendar year 2019 as our </w:t>
            </w:r>
            <w:proofErr w:type="spellStart"/>
            <w:r>
              <w:rPr>
                <w:rFonts w:ascii="Arial" w:eastAsia="Arial" w:hAnsi="Arial" w:cs="Arial"/>
                <w:color w:val="0000FF"/>
                <w:sz w:val="20"/>
                <w:szCs w:val="20"/>
              </w:rPr>
              <w:t>EnB</w:t>
            </w:r>
            <w:proofErr w:type="spellEnd"/>
            <w:r>
              <w:rPr>
                <w:rFonts w:ascii="Arial" w:eastAsia="Arial" w:hAnsi="Arial" w:cs="Arial"/>
                <w:color w:val="0000FF"/>
                <w:sz w:val="20"/>
                <w:szCs w:val="20"/>
              </w:rPr>
              <w:t xml:space="preserve"> period, but will re-evaluate during Green Team meetings. For example, impacts such as pandemic-related business disruptions may require a future adjustment to the </w:t>
            </w:r>
            <w:proofErr w:type="spellStart"/>
            <w:r>
              <w:rPr>
                <w:rFonts w:ascii="Arial" w:eastAsia="Arial" w:hAnsi="Arial" w:cs="Arial"/>
                <w:color w:val="0000FF"/>
                <w:sz w:val="20"/>
                <w:szCs w:val="20"/>
              </w:rPr>
              <w:t>EnB</w:t>
            </w:r>
            <w:proofErr w:type="spellEnd"/>
            <w:r>
              <w:rPr>
                <w:rFonts w:ascii="Arial" w:eastAsia="Arial" w:hAnsi="Arial" w:cs="Arial"/>
                <w:color w:val="0000FF"/>
                <w:sz w:val="20"/>
                <w:szCs w:val="20"/>
              </w:rPr>
              <w:t>.</w:t>
            </w:r>
          </w:p>
        </w:tc>
      </w:tr>
      <w:tr w:rsidR="008624BA">
        <w:trPr>
          <w:trHeight w:val="242"/>
        </w:trPr>
        <w:tc>
          <w:tcPr>
            <w:tcW w:w="509" w:type="dxa"/>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51" w:type="dxa"/>
          </w:tcPr>
          <w:p w:rsidR="008624BA" w:rsidRDefault="00D91481">
            <w:pPr>
              <w:spacing w:before="50" w:after="50"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We maintain records of modifications and updates to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to ensure energy performance measures remain relevant and meaningful.</w:t>
            </w:r>
          </w:p>
        </w:tc>
        <w:tc>
          <w:tcPr>
            <w:tcW w:w="4950" w:type="dxa"/>
          </w:tcPr>
          <w:p w:rsidR="008624BA" w:rsidRDefault="00D91481">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Yes, and we will use our recorded data to cross reference and adjust when necessary.</w:t>
            </w:r>
          </w:p>
        </w:tc>
      </w:tr>
    </w:tbl>
    <w:p w:rsidR="008624BA" w:rsidRDefault="008624BA">
      <w:pPr>
        <w:pBdr>
          <w:top w:val="nil"/>
          <w:left w:val="nil"/>
          <w:bottom w:val="nil"/>
          <w:right w:val="nil"/>
          <w:between w:val="nil"/>
        </w:pBdr>
        <w:spacing w:after="0"/>
        <w:ind w:left="-446" w:right="-576"/>
        <w:rPr>
          <w:rFonts w:ascii="Arial" w:eastAsia="Arial" w:hAnsi="Arial" w:cs="Arial"/>
          <w:color w:val="000000"/>
          <w:sz w:val="20"/>
          <w:szCs w:val="20"/>
          <w:u w:val="single"/>
        </w:rPr>
      </w:pPr>
    </w:p>
    <w:p w:rsidR="008624BA" w:rsidRDefault="00D91481">
      <w:pPr>
        <w:keepNext/>
        <w:numPr>
          <w:ilvl w:val="0"/>
          <w:numId w:val="2"/>
        </w:numPr>
        <w:pBdr>
          <w:top w:val="nil"/>
          <w:left w:val="nil"/>
          <w:bottom w:val="nil"/>
          <w:right w:val="nil"/>
          <w:between w:val="nil"/>
        </w:pBdr>
        <w:spacing w:after="240" w:line="240" w:lineRule="auto"/>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lastRenderedPageBreak/>
        <w:t xml:space="preserve">Implement a process for ongoing monitoring, measurement and analysis of your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xml:space="preserve">, </w:t>
      </w:r>
      <w:proofErr w:type="spellStart"/>
      <w:r>
        <w:rPr>
          <w:rFonts w:ascii="Arial" w:eastAsia="Arial" w:hAnsi="Arial" w:cs="Arial"/>
          <w:color w:val="000000"/>
          <w:sz w:val="20"/>
          <w:szCs w:val="20"/>
          <w:u w:val="single"/>
        </w:rPr>
        <w:t>EnBs</w:t>
      </w:r>
      <w:proofErr w:type="spellEnd"/>
      <w:r>
        <w:rPr>
          <w:rFonts w:ascii="Arial" w:eastAsia="Arial" w:hAnsi="Arial" w:cs="Arial"/>
          <w:color w:val="000000"/>
          <w:sz w:val="20"/>
          <w:szCs w:val="20"/>
          <w:u w:val="single"/>
        </w:rPr>
        <w:t>, and energy performance improvement</w:t>
      </w:r>
    </w:p>
    <w:tbl>
      <w:tblPr>
        <w:tblStyle w:val="a8"/>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341"/>
        <w:gridCol w:w="4860"/>
      </w:tblGrid>
      <w:tr w:rsidR="008624BA">
        <w:trPr>
          <w:trHeight w:val="242"/>
        </w:trPr>
        <w:tc>
          <w:tcPr>
            <w:tcW w:w="509" w:type="dxa"/>
          </w:tcPr>
          <w:p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rsidR="008624BA" w:rsidRDefault="00D91481">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Calculated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values and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are recorded and reviewed on a regular basis.</w:t>
            </w:r>
          </w:p>
        </w:tc>
        <w:tc>
          <w:tcPr>
            <w:tcW w:w="4860" w:type="dxa"/>
          </w:tcPr>
          <w:p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Currently being done on a monthly basis but new methods of data collection using BMS may allow for more granular and frequent information to be collected.</w:t>
            </w:r>
          </w:p>
        </w:tc>
      </w:tr>
      <w:tr w:rsidR="008624BA">
        <w:trPr>
          <w:trHeight w:val="242"/>
        </w:trPr>
        <w:tc>
          <w:tcPr>
            <w:tcW w:w="509" w:type="dxa"/>
          </w:tcPr>
          <w:p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rsidR="008624BA" w:rsidRDefault="00D91481">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The components of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that are measured or calculated are managed for accuracy and repeatability in the energy data collection plan (as addressed in the Energy Data Collection and Analysis task). </w:t>
            </w:r>
          </w:p>
        </w:tc>
        <w:tc>
          <w:tcPr>
            <w:tcW w:w="4860" w:type="dxa"/>
          </w:tcPr>
          <w:p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Data from the BMS and meters are regularly reviewed for accuracy and anomalies by Engineering Department personnel.</w:t>
            </w:r>
          </w:p>
        </w:tc>
      </w:tr>
      <w:tr w:rsidR="008624BA">
        <w:trPr>
          <w:trHeight w:val="242"/>
        </w:trPr>
        <w:tc>
          <w:tcPr>
            <w:tcW w:w="509" w:type="dxa"/>
          </w:tcPr>
          <w:p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rsidR="008624BA" w:rsidRDefault="00D91481">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Top management’s review of energy performance includes a review of performance as determined by the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and the related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 xml:space="preserve">. </w:t>
            </w:r>
          </w:p>
        </w:tc>
        <w:tc>
          <w:tcPr>
            <w:tcW w:w="4860" w:type="dxa"/>
          </w:tcPr>
          <w:p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Top management will always be involved in the review process and will have the final word on any significant changes in strategy.</w:t>
            </w:r>
          </w:p>
        </w:tc>
      </w:tr>
      <w:tr w:rsidR="008624BA">
        <w:trPr>
          <w:trHeight w:val="242"/>
        </w:trPr>
        <w:tc>
          <w:tcPr>
            <w:tcW w:w="509" w:type="dxa"/>
          </w:tcPr>
          <w:p w:rsidR="008624BA" w:rsidRDefault="00D91481">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rsidR="008624BA" w:rsidRDefault="00D91481">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Top management ensures changes are made when the above-mentioned metrics are no longer appropriate.</w:t>
            </w:r>
          </w:p>
        </w:tc>
        <w:tc>
          <w:tcPr>
            <w:tcW w:w="4860" w:type="dxa"/>
          </w:tcPr>
          <w:p w:rsidR="008624BA" w:rsidRDefault="00D91481">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See above.</w:t>
            </w:r>
          </w:p>
        </w:tc>
      </w:tr>
    </w:tbl>
    <w:p w:rsidR="008624BA" w:rsidRDefault="008624BA">
      <w:pPr>
        <w:spacing w:line="240" w:lineRule="auto"/>
        <w:ind w:left="-810" w:right="-720"/>
        <w:rPr>
          <w:rFonts w:ascii="Arial" w:eastAsia="Arial" w:hAnsi="Arial" w:cs="Arial"/>
          <w:color w:val="000000"/>
          <w:sz w:val="20"/>
          <w:szCs w:val="20"/>
        </w:rPr>
      </w:pPr>
    </w:p>
    <w:p w:rsidR="008624BA" w:rsidRDefault="00D91481">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9"/>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8624BA">
        <w:trPr>
          <w:trHeight w:val="179"/>
        </w:trPr>
        <w:tc>
          <w:tcPr>
            <w:tcW w:w="509" w:type="dxa"/>
            <w:vAlign w:val="center"/>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8624BA" w:rsidRDefault="00D91481">
            <w:pPr>
              <w:spacing w:before="50" w:after="50" w:line="240" w:lineRule="auto"/>
              <w:rPr>
                <w:rFonts w:ascii="Arial" w:eastAsia="Arial" w:hAnsi="Arial" w:cs="Arial"/>
                <w:color w:val="000000"/>
                <w:sz w:val="20"/>
                <w:szCs w:val="20"/>
              </w:rPr>
            </w:pPr>
            <w:r>
              <w:rPr>
                <w:color w:val="808080"/>
              </w:rPr>
              <w:t>Click here to enter a date.</w:t>
            </w:r>
          </w:p>
        </w:tc>
      </w:tr>
      <w:tr w:rsidR="008624BA">
        <w:trPr>
          <w:trHeight w:val="242"/>
        </w:trPr>
        <w:tc>
          <w:tcPr>
            <w:tcW w:w="509" w:type="dxa"/>
            <w:vAlign w:val="center"/>
          </w:tcPr>
          <w:p w:rsidR="008624BA" w:rsidRDefault="00D91481">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8624BA" w:rsidRDefault="00D91481">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8624BA" w:rsidRDefault="00D91481">
            <w:pPr>
              <w:spacing w:before="50" w:after="50" w:line="240" w:lineRule="auto"/>
              <w:rPr>
                <w:rFonts w:ascii="Arial" w:eastAsia="Arial" w:hAnsi="Arial" w:cs="Arial"/>
                <w:color w:val="000000"/>
                <w:sz w:val="20"/>
                <w:szCs w:val="20"/>
              </w:rPr>
            </w:pPr>
            <w:r>
              <w:rPr>
                <w:color w:val="808080"/>
              </w:rPr>
              <w:t>Click here to enter text.</w:t>
            </w:r>
          </w:p>
        </w:tc>
      </w:tr>
    </w:tbl>
    <w:p w:rsidR="008624BA" w:rsidRDefault="008624BA">
      <w:pPr>
        <w:spacing w:line="240" w:lineRule="auto"/>
        <w:ind w:right="-720"/>
        <w:rPr>
          <w:rFonts w:ascii="Arial" w:eastAsia="Arial" w:hAnsi="Arial" w:cs="Arial"/>
          <w:color w:val="000000"/>
          <w:sz w:val="20"/>
          <w:szCs w:val="20"/>
          <w:u w:val="single"/>
        </w:rPr>
      </w:pPr>
    </w:p>
    <w:p w:rsidR="008624BA" w:rsidRDefault="00D91481">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8624BA" w:rsidRDefault="00D91481">
      <w:pPr>
        <w:spacing w:line="240" w:lineRule="auto"/>
        <w:ind w:left="-806"/>
        <w:rPr>
          <w:rFonts w:ascii="Arial" w:eastAsia="Arial" w:hAnsi="Arial" w:cs="Arial"/>
          <w:color w:val="000000"/>
          <w:sz w:val="20"/>
          <w:szCs w:val="20"/>
        </w:rPr>
      </w:pPr>
      <w:r>
        <w:rPr>
          <w:color w:val="808080"/>
        </w:rPr>
        <w:t>Click here to enter text.</w:t>
      </w:r>
    </w:p>
    <w:p w:rsidR="008624BA" w:rsidRDefault="008624BA">
      <w:pPr>
        <w:spacing w:line="240" w:lineRule="auto"/>
        <w:ind w:left="-810" w:right="-720"/>
        <w:rPr>
          <w:rFonts w:ascii="Arial" w:eastAsia="Arial" w:hAnsi="Arial" w:cs="Arial"/>
          <w:color w:val="000000"/>
          <w:sz w:val="20"/>
          <w:szCs w:val="20"/>
        </w:rPr>
      </w:pPr>
    </w:p>
    <w:sectPr w:rsidR="008624BA">
      <w:headerReference w:type="default" r:id="rId8"/>
      <w:footerReference w:type="even" r:id="rId9"/>
      <w:footerReference w:type="default" r:id="rId10"/>
      <w:pgSz w:w="12240" w:h="15840"/>
      <w:pgMar w:top="2088" w:right="1440" w:bottom="103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1F1" w:rsidRDefault="00F161F1">
      <w:pPr>
        <w:spacing w:after="0" w:line="240" w:lineRule="auto"/>
      </w:pPr>
      <w:r>
        <w:separator/>
      </w:r>
    </w:p>
  </w:endnote>
  <w:endnote w:type="continuationSeparator" w:id="0">
    <w:p w:rsidR="00F161F1" w:rsidRDefault="00F1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4BA" w:rsidRDefault="00D9148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8624BA" w:rsidRDefault="008624B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4BA" w:rsidRDefault="00D91481">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0635A5">
      <w:rPr>
        <w:noProof/>
        <w:color w:val="000000"/>
      </w:rPr>
      <w:t>1</w:t>
    </w:r>
    <w:r>
      <w:rPr>
        <w:color w:val="000000"/>
      </w:rPr>
      <w:fldChar w:fldCharType="end"/>
    </w:r>
  </w:p>
  <w:p w:rsidR="008624BA" w:rsidRDefault="00D91481">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-723899</wp:posOffset>
              </wp:positionH>
              <wp:positionV relativeFrom="paragraph">
                <wp:posOffset>419100</wp:posOffset>
              </wp:positionV>
              <wp:extent cx="4042029" cy="409575"/>
              <wp:effectExtent l="0" t="0" r="0" b="0"/>
              <wp:wrapNone/>
              <wp:docPr id="16" name="Rectangle 16"/>
              <wp:cNvGraphicFramePr/>
              <a:graphic xmlns:a="http://schemas.openxmlformats.org/drawingml/2006/main">
                <a:graphicData uri="http://schemas.microsoft.com/office/word/2010/wordprocessingShape">
                  <wps:wsp>
                    <wps:cNvSpPr/>
                    <wps:spPr>
                      <a:xfrm>
                        <a:off x="3329748" y="3579975"/>
                        <a:ext cx="4032504" cy="400050"/>
                      </a:xfrm>
                      <a:prstGeom prst="rect">
                        <a:avLst/>
                      </a:prstGeom>
                      <a:solidFill>
                        <a:schemeClr val="lt1"/>
                      </a:solidFill>
                      <a:ln>
                        <a:noFill/>
                      </a:ln>
                    </wps:spPr>
                    <wps:txbx>
                      <w:txbxContent>
                        <w:p w:rsidR="008624BA" w:rsidRDefault="00D91481">
                          <w:pPr>
                            <w:spacing w:after="60" w:line="258" w:lineRule="auto"/>
                            <w:ind w:right="360"/>
                            <w:textDirection w:val="btLr"/>
                          </w:pPr>
                          <w:r>
                            <w:rPr>
                              <w:i/>
                              <w:color w:val="000000"/>
                              <w:sz w:val="17"/>
                            </w:rPr>
                            <w:t>©2019, The Regents of the University of California – PB.11.01.02</w:t>
                          </w:r>
                        </w:p>
                        <w:p w:rsidR="008624BA" w:rsidRDefault="008624B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6" o:spid="_x0000_s1031" style="position:absolute;margin-left:-57pt;margin-top:33pt;width:318.2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" fillcolor="white [3201]" stroked="f">
              <v:textbox inset="2.53958mm,1.2694mm,2.53958mm,1.2694mm">
                <w:txbxContent>
                  <w:p w:rsidR="008624BA" w:rsidRDefault="00D91481">
                    <w:pPr>
                      <w:spacing w:after="60" w:line="258" w:lineRule="auto"/>
                      <w:ind w:right="360"/>
                      <w:textDirection w:val="btLr"/>
                    </w:pPr>
                    <w:r>
                      <w:rPr>
                        <w:i/>
                        <w:color w:val="000000"/>
                        <w:sz w:val="17"/>
                      </w:rPr>
                      <w:t>©2019, The Regents of the University of California – PB.11.01.02</w:t>
                    </w:r>
                  </w:p>
                  <w:p w:rsidR="008624BA" w:rsidRDefault="008624BA">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1F1" w:rsidRDefault="00F161F1">
      <w:pPr>
        <w:spacing w:after="0" w:line="240" w:lineRule="auto"/>
      </w:pPr>
      <w:r>
        <w:separator/>
      </w:r>
    </w:p>
  </w:footnote>
  <w:footnote w:type="continuationSeparator" w:id="0">
    <w:p w:rsidR="00F161F1" w:rsidRDefault="00F16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4BA" w:rsidRDefault="00D91481">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-647699</wp:posOffset>
              </wp:positionH>
              <wp:positionV relativeFrom="paragraph">
                <wp:posOffset>406400</wp:posOffset>
              </wp:positionV>
              <wp:extent cx="7305675" cy="369570"/>
              <wp:effectExtent l="0" t="0" r="0" b="0"/>
              <wp:wrapNone/>
              <wp:docPr id="18" name="Rectangle 18"/>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rsidR="008624BA" w:rsidRDefault="00D91481">
                          <w:pPr>
                            <w:spacing w:after="0" w:line="240" w:lineRule="auto"/>
                            <w:textDirection w:val="btLr"/>
                          </w:pPr>
                          <w:r>
                            <w:rPr>
                              <w:rFonts w:ascii="Arial" w:eastAsia="Arial" w:hAnsi="Arial" w:cs="Arial"/>
                              <w:color w:val="FFFFFF"/>
                              <w:sz w:val="32"/>
                            </w:rPr>
                            <w:t>Task 11: Energy Performance Indicators (</w:t>
                          </w:r>
                          <w:proofErr w:type="spellStart"/>
                          <w:r>
                            <w:rPr>
                              <w:rFonts w:ascii="Arial" w:eastAsia="Arial" w:hAnsi="Arial" w:cs="Arial"/>
                              <w:color w:val="FFFFFF"/>
                              <w:sz w:val="32"/>
                            </w:rPr>
                            <w:t>EnPIs</w:t>
                          </w:r>
                          <w:proofErr w:type="spellEnd"/>
                          <w:r>
                            <w:rPr>
                              <w:rFonts w:ascii="Arial" w:eastAsia="Arial" w:hAnsi="Arial" w:cs="Arial"/>
                              <w:color w:val="FFFFFF"/>
                              <w:sz w:val="32"/>
                            </w:rPr>
                            <w:t>) and Energy Baselines (</w:t>
                          </w:r>
                          <w:proofErr w:type="spellStart"/>
                          <w:r>
                            <w:rPr>
                              <w:rFonts w:ascii="Arial" w:eastAsia="Arial" w:hAnsi="Arial" w:cs="Arial"/>
                              <w:color w:val="FFFFFF"/>
                              <w:sz w:val="32"/>
                            </w:rPr>
                            <w:t>EnBs</w:t>
                          </w:r>
                          <w:proofErr w:type="spellEnd"/>
                          <w:r>
                            <w:rPr>
                              <w:rFonts w:ascii="Arial" w:eastAsia="Arial" w:hAnsi="Arial" w:cs="Arial"/>
                              <w:color w:val="FFFFFF"/>
                              <w:sz w:val="32"/>
                            </w:rPr>
                            <w:t>)</w:t>
                          </w:r>
                        </w:p>
                      </w:txbxContent>
                    </wps:txbx>
                    <wps:bodyPr spcFirstLastPara="1" wrap="square" lIns="91425" tIns="45700" rIns="91425" bIns="45700" anchor="ctr" anchorCtr="0">
                      <a:noAutofit/>
                    </wps:bodyPr>
                  </wps:wsp>
                </a:graphicData>
              </a:graphic>
            </wp:anchor>
          </w:drawing>
        </mc:Choice>
        <mc:Fallback>
          <w:pict>
            <v:rect id="Rectangle 18"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" fillcolor="#4e5992" stroked="f">
              <v:textbox inset="2.53958mm,1.2694mm,2.53958mm,1.2694mm">
                <w:txbxContent>
                  <w:p w:rsidR="008624BA" w:rsidRDefault="00D91481">
                    <w:pPr>
                      <w:spacing w:after="0" w:line="240" w:lineRule="auto"/>
                      <w:textDirection w:val="btLr"/>
                    </w:pPr>
                    <w:r>
                      <w:rPr>
                        <w:rFonts w:ascii="Arial" w:eastAsia="Arial" w:hAnsi="Arial" w:cs="Arial"/>
                        <w:color w:val="FFFFFF"/>
                        <w:sz w:val="32"/>
                      </w:rPr>
                      <w:t>Task 11: Energy Performance Indicators (</w:t>
                    </w:r>
                    <w:proofErr w:type="spellStart"/>
                    <w:r>
                      <w:rPr>
                        <w:rFonts w:ascii="Arial" w:eastAsia="Arial" w:hAnsi="Arial" w:cs="Arial"/>
                        <w:color w:val="FFFFFF"/>
                        <w:sz w:val="32"/>
                      </w:rPr>
                      <w:t>EnPIs</w:t>
                    </w:r>
                    <w:proofErr w:type="spellEnd"/>
                    <w:r>
                      <w:rPr>
                        <w:rFonts w:ascii="Arial" w:eastAsia="Arial" w:hAnsi="Arial" w:cs="Arial"/>
                        <w:color w:val="FFFFFF"/>
                        <w:sz w:val="32"/>
                      </w:rPr>
                      <w:t>) and Energy Baselines (</w:t>
                    </w:r>
                    <w:proofErr w:type="spellStart"/>
                    <w:r>
                      <w:rPr>
                        <w:rFonts w:ascii="Arial" w:eastAsia="Arial" w:hAnsi="Arial" w:cs="Arial"/>
                        <w:color w:val="FFFFFF"/>
                        <w:sz w:val="32"/>
                      </w:rPr>
                      <w:t>EnBs</w:t>
                    </w:r>
                    <w:proofErr w:type="spellEnd"/>
                    <w:r>
                      <w:rPr>
                        <w:rFonts w:ascii="Arial" w:eastAsia="Arial" w:hAnsi="Arial" w:cs="Arial"/>
                        <w:color w:val="FFFFFF"/>
                        <w:sz w:val="32"/>
                      </w:rPr>
                      <w: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8624BA" w:rsidRDefault="00D91481">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21"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" fillcolor="#00579d" stroked="f">
              <v:textbox inset="2.53958mm,1.2694mm,2.53958mm,1.2694mm">
                <w:txbxContent>
                  <w:p w:rsidR="008624BA" w:rsidRDefault="00D91481">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7" name="Rectangle: Rounded Corners 17"/>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8624BA" w:rsidRDefault="008624B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7"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" filled="f" strokecolor="black [3200]" strokeweight="1pt">
              <v:stroke startarrowwidth="narrow" startarrowlength="short" endarrowwidth="narrow" endarrowlength="short" joinstyle="miter"/>
              <v:textbox inset="2.53958mm,2.53958mm,2.53958mm,2.53958mm">
                <w:txbxContent>
                  <w:p w:rsidR="008624BA" w:rsidRDefault="008624BA">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E74"/>
    <w:multiLevelType w:val="hybridMultilevel"/>
    <w:tmpl w:val="89CE3A3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 w15:restartNumberingAfterBreak="0">
    <w:nsid w:val="05BB0878"/>
    <w:multiLevelType w:val="multilevel"/>
    <w:tmpl w:val="2CE0D3D6"/>
    <w:lvl w:ilvl="0">
      <w:start w:val="1"/>
      <w:numFmt w:val="decimal"/>
      <w:lvlText w:val="%1."/>
      <w:lvlJc w:val="left"/>
      <w:pPr>
        <w:ind w:left="-45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 w15:restartNumberingAfterBreak="0">
    <w:nsid w:val="09B47FA8"/>
    <w:multiLevelType w:val="multilevel"/>
    <w:tmpl w:val="65A6E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705B28"/>
    <w:multiLevelType w:val="hybridMultilevel"/>
    <w:tmpl w:val="B3008984"/>
    <w:lvl w:ilvl="0" w:tplc="8FC03410">
      <w:start w:val="1"/>
      <w:numFmt w:val="decimal"/>
      <w:lvlText w:val="%1."/>
      <w:lvlJc w:val="left"/>
      <w:pPr>
        <w:ind w:left="1640" w:hanging="360"/>
      </w:pPr>
      <w:rPr>
        <w:rFonts w:hint="default"/>
        <w:color w:val="FFFFFF" w:themeColor="background1"/>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4BA"/>
    <w:rsid w:val="00061DD4"/>
    <w:rsid w:val="000635A5"/>
    <w:rsid w:val="008624BA"/>
    <w:rsid w:val="00D233D1"/>
    <w:rsid w:val="00D91481"/>
    <w:rsid w:val="00F161F1"/>
    <w:rsid w:val="00FB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B73A9-50DC-45B8-8C35-7CD6ACE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110BB0"/>
    <w:rPr>
      <w:color w:val="808080"/>
    </w:rPr>
  </w:style>
  <w:style w:type="character" w:styleId="CommentReference">
    <w:name w:val="annotation reference"/>
    <w:basedOn w:val="DefaultParagraphFont"/>
    <w:uiPriority w:val="99"/>
    <w:semiHidden/>
    <w:unhideWhenUsed/>
    <w:rsid w:val="004F338E"/>
    <w:rPr>
      <w:sz w:val="16"/>
      <w:szCs w:val="16"/>
    </w:rPr>
  </w:style>
  <w:style w:type="paragraph" w:styleId="CommentText">
    <w:name w:val="annotation text"/>
    <w:basedOn w:val="Normal"/>
    <w:link w:val="CommentTextChar"/>
    <w:uiPriority w:val="99"/>
    <w:semiHidden/>
    <w:unhideWhenUsed/>
    <w:rsid w:val="004F338E"/>
    <w:pPr>
      <w:spacing w:line="240" w:lineRule="auto"/>
    </w:pPr>
    <w:rPr>
      <w:sz w:val="20"/>
      <w:szCs w:val="20"/>
    </w:rPr>
  </w:style>
  <w:style w:type="character" w:customStyle="1" w:styleId="CommentTextChar">
    <w:name w:val="Comment Text Char"/>
    <w:basedOn w:val="DefaultParagraphFont"/>
    <w:link w:val="CommentText"/>
    <w:uiPriority w:val="99"/>
    <w:semiHidden/>
    <w:rsid w:val="004F338E"/>
    <w:rPr>
      <w:sz w:val="20"/>
      <w:szCs w:val="20"/>
    </w:rPr>
  </w:style>
  <w:style w:type="paragraph" w:styleId="CommentSubject">
    <w:name w:val="annotation subject"/>
    <w:basedOn w:val="CommentText"/>
    <w:next w:val="CommentText"/>
    <w:link w:val="CommentSubjectChar"/>
    <w:uiPriority w:val="99"/>
    <w:semiHidden/>
    <w:unhideWhenUsed/>
    <w:rsid w:val="004F338E"/>
    <w:rPr>
      <w:b/>
      <w:bCs/>
    </w:rPr>
  </w:style>
  <w:style w:type="character" w:customStyle="1" w:styleId="CommentSubjectChar">
    <w:name w:val="Comment Subject Char"/>
    <w:basedOn w:val="CommentTextChar"/>
    <w:link w:val="CommentSubject"/>
    <w:uiPriority w:val="99"/>
    <w:semiHidden/>
    <w:rsid w:val="004F338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QA9o1WyHDDHIXRLZHXcGust0hg==">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Lino Sanchez</dc:creator>
  <cp:lastModifiedBy>Vestal Tutterow</cp:lastModifiedBy>
  <cp:revision>5</cp:revision>
  <dcterms:created xsi:type="dcterms:W3CDTF">2021-10-01T14:47:00Z</dcterms:created>
  <dcterms:modified xsi:type="dcterms:W3CDTF">2022-04-20T23:47:00Z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ies>
</file>