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2DB" w:rsidRDefault="00D46A30">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20" name="Rectangle 20"/>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CF52DB" w:rsidRDefault="00CF52D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0"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DfE/GuQBAACtAwAADgAAAAAAAAAAAAAAAAAuAgAAZHJzL2Uyb0RvYy54bWxQSwEC&#10;LQAUAAYACAAAACEAPKF55t4AAAAMAQAADwAAAAAAAAAAAAAAAAA+BAAAZHJzL2Rvd25yZXYueG1s&#10;UEsFBgAAAAAEAAQA8wAAAEkFAAAAAA==&#10;" fillcolor="#73c130" stroked="f">
                <v:textbox inset="2.53958mm,2.53958mm,2.53958mm,2.53958mm">
                  <w:txbxContent>
                    <w:p w:rsidR="00CF52DB" w:rsidRDefault="00CF52DB">
                      <w:pPr>
                        <w:spacing w:after="0" w:line="240" w:lineRule="auto"/>
                        <w:textDirection w:val="btLr"/>
                      </w:pPr>
                    </w:p>
                  </w:txbxContent>
                </v:textbox>
              </v:rect>
            </w:pict>
          </mc:Fallback>
        </mc:AlternateContent>
      </w:r>
    </w:p>
    <w:p w:rsidR="00CF52DB" w:rsidRDefault="00C10DE1">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170180</wp:posOffset>
                </wp:positionV>
                <wp:extent cx="7296785" cy="1581150"/>
                <wp:effectExtent l="0" t="0" r="0" b="0"/>
                <wp:wrapNone/>
                <wp:docPr id="17" name="Rectangle 17"/>
                <wp:cNvGraphicFramePr/>
                <a:graphic xmlns:a="http://schemas.openxmlformats.org/drawingml/2006/main">
                  <a:graphicData uri="http://schemas.microsoft.com/office/word/2010/wordprocessingShape">
                    <wps:wsp>
                      <wps:cNvSpPr/>
                      <wps:spPr>
                        <a:xfrm>
                          <a:off x="0" y="0"/>
                          <a:ext cx="7296785" cy="1581150"/>
                        </a:xfrm>
                        <a:prstGeom prst="rect">
                          <a:avLst/>
                        </a:prstGeom>
                        <a:solidFill>
                          <a:srgbClr val="4E5992"/>
                        </a:solidFill>
                        <a:ln>
                          <a:noFill/>
                        </a:ln>
                      </wps:spPr>
                      <wps:txbx>
                        <w:txbxContent>
                          <w:p w:rsidR="00CF52DB" w:rsidRDefault="00CF52DB" w:rsidP="000C2086">
                            <w:pPr>
                              <w:spacing w:after="0" w:line="240" w:lineRule="auto"/>
                              <w:ind w:left="-821" w:right="-720" w:hanging="806"/>
                              <w:textDirection w:val="btLr"/>
                            </w:pPr>
                          </w:p>
                          <w:p w:rsidR="00CF52DB" w:rsidRDefault="00D46A30">
                            <w:pPr>
                              <w:spacing w:line="240" w:lineRule="auto"/>
                              <w:ind w:right="-720"/>
                              <w:textDirection w:val="btLr"/>
                            </w:pPr>
                            <w:r>
                              <w:rPr>
                                <w:rFonts w:ascii="Arial" w:eastAsia="Arial" w:hAnsi="Arial" w:cs="Arial"/>
                                <w:b/>
                                <w:color w:val="FFFFFF"/>
                                <w:sz w:val="20"/>
                              </w:rPr>
                              <w:t>This part of the Navigator Playbook is completed when you have:</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Developed and documented a methodology and criteria for how your organization will identify, prioritize, and update energy performance improvement opportunities.</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Applied the methodology and criteria you developed to identify, prioritize, and update energy performance improvement opportunities.</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Updated the list of prioritized improvement opportunities at specific intervals and when major changes in facilities, equipment, systems or energy-using processes take place.</w:t>
                            </w:r>
                          </w:p>
                          <w:p w:rsidR="00CF52DB" w:rsidRDefault="00CF52DB" w:rsidP="00C10DE1">
                            <w:pPr>
                              <w:spacing w:line="240" w:lineRule="auto"/>
                              <w:ind w:right="-720" w:hanging="810"/>
                              <w:textDirection w:val="btLr"/>
                            </w:pPr>
                          </w:p>
                          <w:p w:rsidR="00CF52DB" w:rsidRDefault="00CF52DB">
                            <w:pPr>
                              <w:spacing w:line="240" w:lineRule="auto"/>
                              <w:ind w:left="-810" w:right="-720" w:hanging="810"/>
                              <w:textDirection w:val="btLr"/>
                            </w:pPr>
                          </w:p>
                          <w:p w:rsidR="00CF52DB" w:rsidRDefault="00CF52DB">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left:0;text-align:left;margin-left:-51pt;margin-top:13.4pt;width:574.5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" fillcolor="#4e5992" stroked="f">
                <v:textbox inset="2.53958mm,1.2694mm,2.53958mm,1.2694mm">
                  <w:txbxContent>
                    <w:p w:rsidR="00CF52DB" w:rsidRDefault="00CF52DB" w:rsidP="000C2086">
                      <w:pPr>
                        <w:spacing w:after="0" w:line="240" w:lineRule="auto"/>
                        <w:ind w:left="-821" w:right="-720" w:hanging="806"/>
                        <w:textDirection w:val="btLr"/>
                      </w:pPr>
                    </w:p>
                    <w:p w:rsidR="00CF52DB" w:rsidRDefault="00D46A30">
                      <w:pPr>
                        <w:spacing w:line="240" w:lineRule="auto"/>
                        <w:ind w:right="-720"/>
                        <w:textDirection w:val="btLr"/>
                      </w:pPr>
                      <w:r>
                        <w:rPr>
                          <w:rFonts w:ascii="Arial" w:eastAsia="Arial" w:hAnsi="Arial" w:cs="Arial"/>
                          <w:b/>
                          <w:color w:val="FFFFFF"/>
                          <w:sz w:val="20"/>
                        </w:rPr>
                        <w:t>This part of the Navigator Playbook is completed when you have:</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Developed and documented a methodology and criteria for how your organization will identify, prioritize, and update energy performance improvement opportunities.</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Applied the methodology and criteria you developed to identify, prioritize, and update energy performance improvement opportunities.</w:t>
                      </w:r>
                    </w:p>
                    <w:p w:rsidR="00CF52DB" w:rsidRDefault="00D46A30" w:rsidP="00C10DE1">
                      <w:pPr>
                        <w:pStyle w:val="ListParagraph"/>
                        <w:numPr>
                          <w:ilvl w:val="0"/>
                          <w:numId w:val="2"/>
                        </w:numPr>
                        <w:spacing w:line="240" w:lineRule="auto"/>
                        <w:textDirection w:val="btLr"/>
                      </w:pPr>
                      <w:r w:rsidRPr="00C10DE1">
                        <w:rPr>
                          <w:rFonts w:ascii="Arial" w:eastAsia="Arial" w:hAnsi="Arial" w:cs="Arial"/>
                          <w:b/>
                          <w:color w:val="FFFFFF"/>
                          <w:sz w:val="20"/>
                        </w:rPr>
                        <w:t>Updated the list of prioritized improvement opportunities at specific intervals and when major changes in facilities, equipment, systems or energy-using processes take place.</w:t>
                      </w:r>
                    </w:p>
                    <w:p w:rsidR="00CF52DB" w:rsidRDefault="00CF52DB" w:rsidP="00C10DE1">
                      <w:pPr>
                        <w:spacing w:line="240" w:lineRule="auto"/>
                        <w:ind w:right="-720" w:hanging="810"/>
                        <w:textDirection w:val="btLr"/>
                      </w:pPr>
                    </w:p>
                    <w:p w:rsidR="00CF52DB" w:rsidRDefault="00CF52DB">
                      <w:pPr>
                        <w:spacing w:line="240" w:lineRule="auto"/>
                        <w:ind w:left="-810" w:right="-720" w:hanging="810"/>
                        <w:textDirection w:val="btLr"/>
                      </w:pPr>
                    </w:p>
                    <w:p w:rsidR="00CF52DB" w:rsidRDefault="00CF52DB">
                      <w:pPr>
                        <w:spacing w:line="240" w:lineRule="auto"/>
                        <w:ind w:left="-810" w:right="-720" w:hanging="810"/>
                        <w:textDirection w:val="btLr"/>
                      </w:pPr>
                    </w:p>
                  </w:txbxContent>
                </v:textbox>
              </v:rect>
            </w:pict>
          </mc:Fallback>
        </mc:AlternateContent>
      </w:r>
      <w:r w:rsidR="00D46A30">
        <w:rPr>
          <w:rFonts w:ascii="Arial" w:eastAsia="Arial" w:hAnsi="Arial" w:cs="Arial"/>
          <w:b/>
          <w:color w:val="000000"/>
          <w:sz w:val="21"/>
          <w:szCs w:val="21"/>
        </w:rPr>
        <w:t xml:space="preserve">Who last modified/updated: </w:t>
      </w:r>
      <w:r w:rsidR="00D46A30">
        <w:rPr>
          <w:color w:val="808080"/>
        </w:rPr>
        <w:t>Click here to enter text.</w:t>
      </w:r>
      <w:r w:rsidR="00D46A30">
        <w:rPr>
          <w:rFonts w:ascii="Arial" w:eastAsia="Arial" w:hAnsi="Arial" w:cs="Arial"/>
          <w:b/>
          <w:color w:val="000000"/>
          <w:sz w:val="21"/>
          <w:szCs w:val="21"/>
        </w:rPr>
        <w:t xml:space="preserve">               Management review: </w:t>
      </w:r>
      <w:r w:rsidR="00D46A30">
        <w:rPr>
          <w:color w:val="808080"/>
        </w:rPr>
        <w:t>Click here to enter a date.</w:t>
      </w:r>
    </w:p>
    <w:p w:rsidR="00CF52DB" w:rsidRDefault="00CF52DB">
      <w:pPr>
        <w:spacing w:after="0" w:line="240" w:lineRule="auto"/>
        <w:ind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after="0" w:line="240" w:lineRule="auto"/>
        <w:ind w:left="-810" w:right="-720"/>
        <w:rPr>
          <w:rFonts w:ascii="Arial" w:eastAsia="Arial" w:hAnsi="Arial" w:cs="Arial"/>
          <w:color w:val="000000"/>
          <w:sz w:val="20"/>
          <w:szCs w:val="20"/>
        </w:rPr>
      </w:pPr>
    </w:p>
    <w:p w:rsidR="00CF52DB" w:rsidRDefault="00CF52DB">
      <w:pPr>
        <w:spacing w:line="240" w:lineRule="auto"/>
        <w:ind w:left="-810" w:right="-720"/>
        <w:rPr>
          <w:rFonts w:ascii="Arial" w:eastAsia="Arial" w:hAnsi="Arial" w:cs="Arial"/>
          <w:color w:val="000000"/>
          <w:sz w:val="20"/>
          <w:szCs w:val="20"/>
        </w:rPr>
      </w:pPr>
    </w:p>
    <w:p w:rsidR="00CF52DB" w:rsidRDefault="00D46A30">
      <w:pPr>
        <w:numPr>
          <w:ilvl w:val="0"/>
          <w:numId w:val="1"/>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Develop and document a methodology and criteria for how your organization will identify, prioritize, and update energy performance improvement opportunities.</w:t>
      </w:r>
      <w:bookmarkStart w:id="0" w:name="_GoBack"/>
      <w:bookmarkEnd w:id="0"/>
    </w:p>
    <w:p w:rsidR="00CF52DB" w:rsidRDefault="00D46A30">
      <w:pPr>
        <w:spacing w:line="240" w:lineRule="auto"/>
        <w:ind w:left="-806"/>
        <w:rPr>
          <w:rFonts w:ascii="Arial" w:eastAsia="Arial" w:hAnsi="Arial" w:cs="Arial"/>
          <w:color w:val="000000"/>
          <w:sz w:val="20"/>
          <w:szCs w:val="20"/>
        </w:rPr>
      </w:pPr>
      <w:bookmarkStart w:id="1" w:name="bookmark=id.gjdgxs" w:colFirst="0" w:colLast="0"/>
      <w:bookmarkEnd w:id="1"/>
      <w:r>
        <w:rPr>
          <w:rFonts w:ascii="Arial" w:eastAsia="Arial" w:hAnsi="Arial" w:cs="Arial"/>
          <w:color w:val="000000"/>
          <w:sz w:val="20"/>
          <w:szCs w:val="20"/>
        </w:rPr>
        <w:t>☒ We have developed a prioritization method that is both systematic and continual, and have detailed below:</w:t>
      </w:r>
    </w:p>
    <w:tbl>
      <w:tblPr>
        <w:tblStyle w:val="a"/>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CF52DB">
        <w:trPr>
          <w:trHeight w:val="1376"/>
        </w:trPr>
        <w:tc>
          <w:tcPr>
            <w:tcW w:w="10890" w:type="dxa"/>
          </w:tcPr>
          <w:p w:rsidR="00CF52DB" w:rsidRDefault="00D46A30">
            <w:pPr>
              <w:spacing w:before="50" w:after="50" w:line="240" w:lineRule="auto"/>
              <w:ind w:right="74"/>
              <w:rPr>
                <w:rFonts w:ascii="Arial" w:eastAsia="Arial" w:hAnsi="Arial" w:cs="Arial"/>
                <w:color w:val="0000FF"/>
                <w:sz w:val="20"/>
                <w:szCs w:val="20"/>
              </w:rPr>
            </w:pPr>
            <w:r>
              <w:rPr>
                <w:rFonts w:ascii="Arial" w:eastAsia="Arial" w:hAnsi="Arial" w:cs="Arial"/>
                <w:color w:val="0000FF"/>
                <w:sz w:val="20"/>
                <w:szCs w:val="20"/>
              </w:rPr>
              <w:t xml:space="preserve">We prioritize improvement opportunities by applying a set of scoring criteria and assessing each opportunity on a 1-5 scale (1 being lowest and 5 the highest), then multiply each value across all other criteria.  The factors we are scoring against are return on investment, improvement to the guest experience, and sustainability impacts as per more detail in our Sustainability Tracker. </w:t>
            </w:r>
          </w:p>
        </w:tc>
      </w:tr>
    </w:tbl>
    <w:p w:rsidR="00CF52DB" w:rsidRDefault="00CF52DB">
      <w:pPr>
        <w:spacing w:line="240" w:lineRule="auto"/>
        <w:rPr>
          <w:rFonts w:ascii="Arial" w:eastAsia="Arial" w:hAnsi="Arial" w:cs="Arial"/>
          <w:color w:val="000000"/>
          <w:sz w:val="20"/>
          <w:szCs w:val="20"/>
        </w:rPr>
      </w:pP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212529"/>
          <w:sz w:val="20"/>
          <w:szCs w:val="20"/>
          <w:highlight w:val="white"/>
        </w:rPr>
        <w:t>The following have been considered in our criteria selection process:</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The energy objectives and targets that have been established</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The estimated energy savings associated with Improvement Opportunities</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Organizational constraints</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 xml:space="preserve">Applicable capital justification or other criteria required for project approval by organization </w:t>
      </w:r>
    </w:p>
    <w:p w:rsidR="00CF52DB" w:rsidRDefault="00CF52DB">
      <w:pPr>
        <w:spacing w:after="240"/>
        <w:ind w:right="-576"/>
        <w:rPr>
          <w:rFonts w:ascii="Arial" w:eastAsia="Arial" w:hAnsi="Arial" w:cs="Arial"/>
          <w:color w:val="000000"/>
          <w:sz w:val="20"/>
          <w:szCs w:val="20"/>
          <w:u w:val="single"/>
        </w:rPr>
      </w:pPr>
    </w:p>
    <w:p w:rsidR="00CF52DB" w:rsidRDefault="00D46A30">
      <w:pPr>
        <w:numPr>
          <w:ilvl w:val="0"/>
          <w:numId w:val="1"/>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Apply the methodology and criteria you developed to identify, prioritize, and update energy performance improvement opportunities.</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We have used a 50001 Ready Improvement Opportunities Register (or other document) to identify, prioritize, and update energy performance improvement opportunities.</w:t>
      </w:r>
    </w:p>
    <w:p w:rsidR="00CF52DB" w:rsidRDefault="00CF52DB">
      <w:pPr>
        <w:pBdr>
          <w:top w:val="nil"/>
          <w:left w:val="nil"/>
          <w:bottom w:val="nil"/>
          <w:right w:val="nil"/>
          <w:between w:val="nil"/>
        </w:pBdr>
        <w:spacing w:after="0"/>
        <w:ind w:left="-446" w:right="-576"/>
        <w:rPr>
          <w:rFonts w:ascii="Arial" w:eastAsia="Arial" w:hAnsi="Arial" w:cs="Arial"/>
          <w:color w:val="000000"/>
          <w:sz w:val="20"/>
          <w:szCs w:val="20"/>
          <w:u w:val="single"/>
        </w:rPr>
      </w:pPr>
    </w:p>
    <w:p w:rsidR="00CF52DB" w:rsidRDefault="00D46A30">
      <w:pPr>
        <w:numPr>
          <w:ilvl w:val="0"/>
          <w:numId w:val="1"/>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Update the list of prioritized improvement opportunities at specific intervals and when major changes in facilities, equipment, systems or energy-using processes take place.</w:t>
      </w:r>
    </w:p>
    <w:p w:rsidR="00CF52DB" w:rsidRDefault="00D46A30">
      <w:pPr>
        <w:spacing w:line="240" w:lineRule="auto"/>
        <w:ind w:left="-806"/>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rPr>
        <w:t>We update the 50001 Ready Improvement Opportunities Register (or other document) to identify, prioritize, and update energy performance improvement opportunities when major changes in facilities, equipment, systems or energy-using processes take place.</w:t>
      </w:r>
      <w:r>
        <w:br w:type="page"/>
      </w:r>
    </w:p>
    <w:p w:rsidR="00CF52DB" w:rsidRDefault="00D46A30">
      <w:pPr>
        <w:pStyle w:val="Title"/>
        <w:rPr>
          <w:rFonts w:ascii="Arial" w:eastAsia="Arial" w:hAnsi="Arial" w:cs="Arial"/>
          <w:b w:val="0"/>
        </w:rPr>
      </w:pPr>
      <w:r>
        <w:rPr>
          <w:rFonts w:ascii="Arial" w:eastAsia="Arial" w:hAnsi="Arial" w:cs="Arial"/>
          <w:b w:val="0"/>
        </w:rPr>
        <w:lastRenderedPageBreak/>
        <w:t>Checklist of Other Methods to Identify Energy Opportunities</w:t>
      </w:r>
    </w:p>
    <w:p w:rsidR="00CF52DB" w:rsidRDefault="00D46A30">
      <w:r>
        <w:tab/>
      </w:r>
      <w:r>
        <w:tab/>
      </w:r>
      <w:r>
        <w:tab/>
      </w:r>
      <w:r>
        <w:tab/>
      </w:r>
      <w:r>
        <w:tab/>
      </w:r>
      <w:r>
        <w:tab/>
      </w:r>
    </w:p>
    <w:tbl>
      <w:tblPr>
        <w:tblStyle w:val="a0"/>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2372"/>
        <w:gridCol w:w="2525"/>
        <w:gridCol w:w="1250"/>
        <w:gridCol w:w="1226"/>
        <w:gridCol w:w="1443"/>
      </w:tblGrid>
      <w:tr w:rsidR="00CF52DB">
        <w:trPr>
          <w:cantSplit/>
          <w:trHeight w:val="530"/>
          <w:tblHeader/>
          <w:jc w:val="center"/>
        </w:trPr>
        <w:tc>
          <w:tcPr>
            <w:tcW w:w="10382" w:type="dxa"/>
            <w:gridSpan w:val="6"/>
            <w:shd w:val="clear" w:color="auto" w:fill="F2F2F2"/>
          </w:tcPr>
          <w:p w:rsidR="00CF52DB" w:rsidRDefault="00D46A30">
            <w:pPr>
              <w:rPr>
                <w:rFonts w:ascii="Arial" w:eastAsia="Arial" w:hAnsi="Arial" w:cs="Arial"/>
                <w:sz w:val="20"/>
                <w:szCs w:val="20"/>
              </w:rPr>
            </w:pPr>
            <w:r>
              <w:rPr>
                <w:rFonts w:ascii="Arial" w:eastAsia="Arial" w:hAnsi="Arial" w:cs="Arial"/>
                <w:sz w:val="20"/>
                <w:szCs w:val="20"/>
              </w:rPr>
              <w:t>Purpose:  Provide a listing of methods (other than assessments) for identifying energy opportunities, with a checklist feature for recording the methods used by the organization</w:t>
            </w:r>
          </w:p>
        </w:tc>
      </w:tr>
      <w:tr w:rsidR="00CF52DB">
        <w:trPr>
          <w:cantSplit/>
          <w:trHeight w:val="1061"/>
          <w:tblHeader/>
          <w:jc w:val="center"/>
        </w:trPr>
        <w:tc>
          <w:tcPr>
            <w:tcW w:w="1566"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METHOD</w:t>
            </w:r>
          </w:p>
        </w:tc>
        <w:tc>
          <w:tcPr>
            <w:tcW w:w="2372"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CONTACT</w:t>
            </w:r>
          </w:p>
        </w:tc>
        <w:tc>
          <w:tcPr>
            <w:tcW w:w="2525"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EXPECTED OUTCOMES FROM APPYLING THE METHOD</w:t>
            </w:r>
          </w:p>
        </w:tc>
        <w:tc>
          <w:tcPr>
            <w:tcW w:w="1250"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WAS THIS METHOD USED? (y/n)</w:t>
            </w:r>
          </w:p>
        </w:tc>
        <w:tc>
          <w:tcPr>
            <w:tcW w:w="1226"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WHEN WAS IT USED? (date)</w:t>
            </w:r>
          </w:p>
        </w:tc>
        <w:tc>
          <w:tcPr>
            <w:tcW w:w="1443" w:type="dxa"/>
            <w:shd w:val="clear" w:color="auto" w:fill="F2F2F2"/>
          </w:tcPr>
          <w:p w:rsidR="00CF52DB" w:rsidRDefault="00D46A30">
            <w:pPr>
              <w:rPr>
                <w:rFonts w:ascii="Arial" w:eastAsia="Arial" w:hAnsi="Arial" w:cs="Arial"/>
                <w:b/>
                <w:sz w:val="20"/>
                <w:szCs w:val="20"/>
              </w:rPr>
            </w:pPr>
            <w:r>
              <w:rPr>
                <w:rFonts w:ascii="Arial" w:eastAsia="Arial" w:hAnsi="Arial" w:cs="Arial"/>
                <w:b/>
                <w:sz w:val="20"/>
                <w:szCs w:val="20"/>
              </w:rPr>
              <w:t>NEXT PROPOSED USAGE (date)</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Employee Suggestions</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Contact employees through the suggestion system, survey form or annual performance reviews.</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Improvements in process energy efficiency; energy waste reduction opportunities; and, proposed operating efficiency improvements</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2013-Present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2021</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Utility Account Representative</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Contact utility to locate the assigned representative.</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Information on available utility rates and incentives; new technologies promoted by the utility; and fuel switching opportunities</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2010- 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Ongoing</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Process and Energy Equipment Service Technicians</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Technician contact information is available from contracted service provider or equipment vendor service department.</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Operating and maintenance recommendations from service provider</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2010-Present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Ongoing</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Equipment Vendors Technical Support</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Contact the equipment manufacturer to access their technical support.</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Recommendations on most efficient operating conditions and maintenance practices to maximize and sustain operating efficiency</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2010- 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Ongoing</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Trade association and/or operating standards for industrial sector</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Trade association or U.S. Department of Commerce Industrial Statistics</w:t>
            </w:r>
          </w:p>
        </w:tc>
        <w:tc>
          <w:tcPr>
            <w:tcW w:w="2525" w:type="dxa"/>
          </w:tcPr>
          <w:p w:rsidR="00CF52DB" w:rsidRDefault="00D46A30">
            <w:pPr>
              <w:rPr>
                <w:rFonts w:ascii="Arial" w:eastAsia="Arial" w:hAnsi="Arial" w:cs="Arial"/>
                <w:b/>
                <w:sz w:val="17"/>
                <w:szCs w:val="17"/>
              </w:rPr>
            </w:pPr>
            <w:proofErr w:type="spellStart"/>
            <w:r>
              <w:rPr>
                <w:rFonts w:ascii="Arial" w:eastAsia="Arial" w:hAnsi="Arial" w:cs="Arial"/>
                <w:sz w:val="17"/>
                <w:szCs w:val="17"/>
              </w:rPr>
              <w:t>EnPI</w:t>
            </w:r>
            <w:proofErr w:type="spellEnd"/>
            <w:r>
              <w:rPr>
                <w:rFonts w:ascii="Arial" w:eastAsia="Arial" w:hAnsi="Arial" w:cs="Arial"/>
                <w:sz w:val="17"/>
                <w:szCs w:val="17"/>
              </w:rPr>
              <w:t>, general plant operating conditions</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N</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Equipment Standards</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Equipment vendor trade association, user group records</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Efficient equipment operating conditions and maintenance practices</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2010- 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Ongoing</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Value Stream Mapping</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 xml:space="preserve">Lean training seminars, corporate lean manufacturing specialists, EPA Lean, Energy and Climate Toolkit Website: </w:t>
            </w:r>
            <w:hyperlink r:id="rId8" w:anchor="E">
              <w:r>
                <w:rPr>
                  <w:rFonts w:ascii="Arial" w:eastAsia="Arial" w:hAnsi="Arial" w:cs="Arial"/>
                  <w:color w:val="0563C1"/>
                  <w:sz w:val="17"/>
                  <w:szCs w:val="17"/>
                  <w:u w:val="single"/>
                </w:rPr>
                <w:t>http://www.epa.gov/lean/environment/toolkits/energy/#E</w:t>
              </w:r>
            </w:hyperlink>
            <w:r>
              <w:rPr>
                <w:rFonts w:ascii="Arial" w:eastAsia="Arial" w:hAnsi="Arial" w:cs="Arial"/>
                <w:sz w:val="17"/>
                <w:szCs w:val="17"/>
              </w:rPr>
              <w:t xml:space="preserve"> </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Add energy to value stream mapping and identify approaches to reduce energy waste and/or improve operating efficiency</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N</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lastRenderedPageBreak/>
              <w:t>Six Sigma</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 xml:space="preserve">Six sigma websites and blogs, Six sigma training courses, EPA Lean, Energy and Climate Toolkit web-site: </w:t>
            </w:r>
            <w:hyperlink r:id="rId9">
              <w:r>
                <w:rPr>
                  <w:rFonts w:ascii="Arial" w:eastAsia="Arial" w:hAnsi="Arial" w:cs="Arial"/>
                  <w:color w:val="0563C1"/>
                  <w:sz w:val="17"/>
                  <w:szCs w:val="17"/>
                  <w:u w:val="single"/>
                </w:rPr>
                <w:t>http://www.epa.gov/lean/environment/toolkits/energy/#E</w:t>
              </w:r>
            </w:hyperlink>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Project comparison and selection.</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N</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Energy Kaizen Events</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 xml:space="preserve">EPA Lean, Energy and Climate Toolkit Website:  </w:t>
            </w:r>
            <w:hyperlink r:id="rId10">
              <w:r>
                <w:rPr>
                  <w:rFonts w:ascii="Arial" w:eastAsia="Arial" w:hAnsi="Arial" w:cs="Arial"/>
                  <w:color w:val="0563C1"/>
                  <w:sz w:val="17"/>
                  <w:szCs w:val="17"/>
                  <w:u w:val="single"/>
                </w:rPr>
                <w:t>http://www.epa.gov/lean/environment/toolkits/energy/#E</w:t>
              </w:r>
            </w:hyperlink>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Rapid process improvement identifying and implementing process changes to reduce energy waste</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N</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Benchmarking</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Industrial Energy Analysis:</w:t>
            </w:r>
          </w:p>
          <w:p w:rsidR="00CF52DB" w:rsidRDefault="009868C4">
            <w:pPr>
              <w:rPr>
                <w:rFonts w:ascii="Arial" w:eastAsia="Arial" w:hAnsi="Arial" w:cs="Arial"/>
                <w:b/>
                <w:sz w:val="17"/>
                <w:szCs w:val="17"/>
              </w:rPr>
            </w:pPr>
            <w:hyperlink r:id="rId11">
              <w:r w:rsidR="00D46A30">
                <w:rPr>
                  <w:rFonts w:ascii="Arial" w:eastAsia="Arial" w:hAnsi="Arial" w:cs="Arial"/>
                  <w:color w:val="0563C1"/>
                  <w:sz w:val="17"/>
                  <w:szCs w:val="17"/>
                  <w:u w:val="single"/>
                </w:rPr>
                <w:t>http://industrial-energy.lbl.gov/node/100</w:t>
              </w:r>
            </w:hyperlink>
            <w:r w:rsidR="00D46A30">
              <w:rPr>
                <w:rFonts w:ascii="Arial" w:eastAsia="Arial" w:hAnsi="Arial" w:cs="Arial"/>
                <w:sz w:val="17"/>
                <w:szCs w:val="17"/>
              </w:rPr>
              <w:t xml:space="preserve"> </w:t>
            </w:r>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Spreadsheet tools for use by industries to benchmark a plant's energy intensity to "best practice" and to identify energy-efficiency options that can be implemented.</w:t>
            </w:r>
          </w:p>
        </w:tc>
        <w:tc>
          <w:tcPr>
            <w:tcW w:w="1250"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Y</w:t>
            </w:r>
          </w:p>
        </w:tc>
        <w:tc>
          <w:tcPr>
            <w:tcW w:w="1226"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2011- Present</w:t>
            </w:r>
          </w:p>
        </w:tc>
        <w:tc>
          <w:tcPr>
            <w:tcW w:w="1443" w:type="dxa"/>
          </w:tcPr>
          <w:p w:rsidR="00CF52DB" w:rsidRDefault="00D46A30">
            <w:pPr>
              <w:rPr>
                <w:rFonts w:ascii="Arial" w:eastAsia="Arial" w:hAnsi="Arial" w:cs="Arial"/>
                <w:b/>
                <w:color w:val="0000FF"/>
                <w:sz w:val="17"/>
                <w:szCs w:val="17"/>
              </w:rPr>
            </w:pPr>
            <w:r>
              <w:rPr>
                <w:rFonts w:ascii="Arial" w:eastAsia="Arial" w:hAnsi="Arial" w:cs="Arial"/>
                <w:color w:val="0000FF"/>
                <w:sz w:val="20"/>
                <w:szCs w:val="20"/>
              </w:rPr>
              <w:t>Ongoing</w:t>
            </w:r>
          </w:p>
        </w:tc>
      </w:tr>
      <w:tr w:rsidR="00CF52DB">
        <w:trPr>
          <w:cantSplit/>
          <w:jc w:val="center"/>
        </w:trPr>
        <w:tc>
          <w:tcPr>
            <w:tcW w:w="1566" w:type="dxa"/>
          </w:tcPr>
          <w:p w:rsidR="00CF52DB" w:rsidRDefault="00D46A30">
            <w:pPr>
              <w:rPr>
                <w:rFonts w:ascii="Arial" w:eastAsia="Arial" w:hAnsi="Arial" w:cs="Arial"/>
                <w:b/>
                <w:sz w:val="17"/>
                <w:szCs w:val="17"/>
              </w:rPr>
            </w:pPr>
            <w:r>
              <w:rPr>
                <w:rFonts w:ascii="Arial" w:eastAsia="Arial" w:hAnsi="Arial" w:cs="Arial"/>
                <w:sz w:val="17"/>
                <w:szCs w:val="17"/>
              </w:rPr>
              <w:t>Examine Energy Saving Assessments (ESA) results for like industries</w:t>
            </w:r>
          </w:p>
        </w:tc>
        <w:tc>
          <w:tcPr>
            <w:tcW w:w="2372" w:type="dxa"/>
          </w:tcPr>
          <w:p w:rsidR="00CF52DB" w:rsidRDefault="00D46A30">
            <w:pPr>
              <w:rPr>
                <w:rFonts w:ascii="Arial" w:eastAsia="Arial" w:hAnsi="Arial" w:cs="Arial"/>
                <w:b/>
                <w:sz w:val="17"/>
                <w:szCs w:val="17"/>
              </w:rPr>
            </w:pPr>
            <w:r>
              <w:rPr>
                <w:rFonts w:ascii="Arial" w:eastAsia="Arial" w:hAnsi="Arial" w:cs="Arial"/>
                <w:sz w:val="17"/>
                <w:szCs w:val="17"/>
              </w:rPr>
              <w:t xml:space="preserve">U.S. DOE-Industrial Assistance and Projects Databases:  </w:t>
            </w:r>
          </w:p>
          <w:p w:rsidR="00CF52DB" w:rsidRDefault="009868C4">
            <w:pPr>
              <w:rPr>
                <w:rFonts w:ascii="Arial" w:eastAsia="Arial" w:hAnsi="Arial" w:cs="Arial"/>
                <w:b/>
                <w:sz w:val="17"/>
                <w:szCs w:val="17"/>
              </w:rPr>
            </w:pPr>
            <w:hyperlink r:id="rId12">
              <w:r w:rsidR="00D46A30">
                <w:rPr>
                  <w:rFonts w:ascii="Arial" w:eastAsia="Arial" w:hAnsi="Arial" w:cs="Arial"/>
                  <w:color w:val="0563C1"/>
                  <w:sz w:val="17"/>
                  <w:szCs w:val="17"/>
                  <w:u w:val="single"/>
                </w:rPr>
                <w:t>http://www.energy.gov/eere/amo/industrial-assistance-and-projects-databases</w:t>
              </w:r>
            </w:hyperlink>
          </w:p>
        </w:tc>
        <w:tc>
          <w:tcPr>
            <w:tcW w:w="2525" w:type="dxa"/>
          </w:tcPr>
          <w:p w:rsidR="00CF52DB" w:rsidRDefault="00D46A30">
            <w:pPr>
              <w:rPr>
                <w:rFonts w:ascii="Arial" w:eastAsia="Arial" w:hAnsi="Arial" w:cs="Arial"/>
                <w:b/>
                <w:sz w:val="17"/>
                <w:szCs w:val="17"/>
              </w:rPr>
            </w:pPr>
            <w:r>
              <w:rPr>
                <w:rFonts w:ascii="Arial" w:eastAsia="Arial" w:hAnsi="Arial" w:cs="Arial"/>
                <w:sz w:val="17"/>
                <w:szCs w:val="17"/>
              </w:rPr>
              <w:t>Listing of ESA recommendations developed during system assessments</w:t>
            </w:r>
          </w:p>
        </w:tc>
        <w:tc>
          <w:tcPr>
            <w:tcW w:w="1250" w:type="dxa"/>
          </w:tcPr>
          <w:p w:rsidR="00CF52DB" w:rsidRDefault="00D46A30">
            <w:pPr>
              <w:rPr>
                <w:rFonts w:ascii="Arial" w:eastAsia="Arial" w:hAnsi="Arial" w:cs="Arial"/>
                <w:b/>
                <w:sz w:val="17"/>
                <w:szCs w:val="17"/>
              </w:rPr>
            </w:pPr>
            <w:r>
              <w:rPr>
                <w:rFonts w:ascii="Arial" w:eastAsia="Arial" w:hAnsi="Arial" w:cs="Arial"/>
                <w:color w:val="0000FF"/>
                <w:sz w:val="20"/>
                <w:szCs w:val="20"/>
              </w:rPr>
              <w:t>N</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r w:rsidR="00CF52DB">
        <w:trPr>
          <w:cantSplit/>
          <w:jc w:val="center"/>
        </w:trPr>
        <w:tc>
          <w:tcPr>
            <w:tcW w:w="1566" w:type="dxa"/>
          </w:tcPr>
          <w:p w:rsidR="00CF52DB" w:rsidRDefault="00D46A30">
            <w:pPr>
              <w:rPr>
                <w:rFonts w:ascii="Arial" w:eastAsia="Arial" w:hAnsi="Arial" w:cs="Arial"/>
                <w:sz w:val="17"/>
                <w:szCs w:val="17"/>
              </w:rPr>
            </w:pPr>
            <w:r>
              <w:rPr>
                <w:rFonts w:ascii="Arial" w:eastAsia="Arial" w:hAnsi="Arial" w:cs="Arial"/>
                <w:color w:val="000000"/>
                <w:sz w:val="17"/>
                <w:szCs w:val="17"/>
              </w:rPr>
              <w:t>Commissioning/retro-commissioning</w:t>
            </w:r>
          </w:p>
        </w:tc>
        <w:tc>
          <w:tcPr>
            <w:tcW w:w="2372" w:type="dxa"/>
          </w:tcPr>
          <w:p w:rsidR="00CF52DB" w:rsidRDefault="00D46A30">
            <w:pPr>
              <w:rPr>
                <w:rFonts w:ascii="Arial" w:eastAsia="Arial" w:hAnsi="Arial" w:cs="Arial"/>
                <w:color w:val="000000"/>
                <w:sz w:val="17"/>
                <w:szCs w:val="17"/>
              </w:rPr>
            </w:pPr>
            <w:r>
              <w:rPr>
                <w:rFonts w:ascii="Arial" w:eastAsia="Arial" w:hAnsi="Arial" w:cs="Arial"/>
                <w:color w:val="000000"/>
                <w:sz w:val="17"/>
                <w:szCs w:val="17"/>
              </w:rPr>
              <w:t>Energy Star Building Upgrade Manual – Chapter 12: Hotels and Motels:</w:t>
            </w:r>
          </w:p>
          <w:p w:rsidR="00CF52DB" w:rsidRDefault="009868C4">
            <w:pPr>
              <w:rPr>
                <w:rFonts w:ascii="Arial" w:eastAsia="Arial" w:hAnsi="Arial" w:cs="Arial"/>
                <w:sz w:val="17"/>
                <w:szCs w:val="17"/>
              </w:rPr>
            </w:pPr>
            <w:hyperlink r:id="rId13">
              <w:r w:rsidR="00D46A30">
                <w:rPr>
                  <w:rFonts w:ascii="Arial" w:eastAsia="Arial" w:hAnsi="Arial" w:cs="Arial"/>
                  <w:color w:val="0563C1"/>
                  <w:sz w:val="17"/>
                  <w:szCs w:val="17"/>
                  <w:u w:val="single"/>
                </w:rPr>
                <w:t>https://www.energystar.gov/buildings/tools-and-resources/building-upgrade-manual</w:t>
              </w:r>
            </w:hyperlink>
            <w:r w:rsidR="00D46A30">
              <w:rPr>
                <w:rFonts w:ascii="Arial" w:eastAsia="Arial" w:hAnsi="Arial" w:cs="Arial"/>
                <w:sz w:val="17"/>
                <w:szCs w:val="17"/>
              </w:rPr>
              <w:t xml:space="preserve"> </w:t>
            </w:r>
          </w:p>
        </w:tc>
        <w:tc>
          <w:tcPr>
            <w:tcW w:w="2525" w:type="dxa"/>
          </w:tcPr>
          <w:p w:rsidR="00CF52DB" w:rsidRDefault="00D46A30">
            <w:pPr>
              <w:rPr>
                <w:rFonts w:ascii="Arial" w:eastAsia="Arial" w:hAnsi="Arial" w:cs="Arial"/>
                <w:sz w:val="17"/>
                <w:szCs w:val="17"/>
              </w:rPr>
            </w:pPr>
            <w:r>
              <w:rPr>
                <w:rFonts w:ascii="Arial" w:eastAsia="Arial" w:hAnsi="Arial" w:cs="Arial"/>
                <w:color w:val="000000"/>
                <w:sz w:val="17"/>
                <w:szCs w:val="17"/>
              </w:rPr>
              <w:t>Improved operations, reduced maintenance, improved reliability</w:t>
            </w:r>
          </w:p>
        </w:tc>
        <w:tc>
          <w:tcPr>
            <w:tcW w:w="1250" w:type="dxa"/>
          </w:tcPr>
          <w:p w:rsidR="00CF52DB" w:rsidRDefault="00D46A30">
            <w:pPr>
              <w:rPr>
                <w:rFonts w:ascii="Arial" w:eastAsia="Arial" w:hAnsi="Arial" w:cs="Arial"/>
                <w:color w:val="000000"/>
                <w:sz w:val="20"/>
                <w:szCs w:val="20"/>
              </w:rPr>
            </w:pPr>
            <w:r>
              <w:rPr>
                <w:rFonts w:ascii="Arial" w:eastAsia="Arial" w:hAnsi="Arial" w:cs="Arial"/>
                <w:color w:val="000000"/>
                <w:sz w:val="20"/>
                <w:szCs w:val="20"/>
              </w:rPr>
              <w:t>Y</w:t>
            </w:r>
          </w:p>
        </w:tc>
        <w:tc>
          <w:tcPr>
            <w:tcW w:w="1226" w:type="dxa"/>
          </w:tcPr>
          <w:p w:rsidR="00CF52DB" w:rsidRDefault="00D46A30">
            <w:pPr>
              <w:rPr>
                <w:rFonts w:ascii="Arial" w:eastAsia="Arial" w:hAnsi="Arial" w:cs="Arial"/>
                <w:color w:val="000000"/>
                <w:sz w:val="20"/>
                <w:szCs w:val="20"/>
              </w:rPr>
            </w:pPr>
            <w:r>
              <w:rPr>
                <w:rFonts w:ascii="Arial" w:eastAsia="Arial" w:hAnsi="Arial" w:cs="Arial"/>
                <w:color w:val="000000"/>
                <w:sz w:val="20"/>
                <w:szCs w:val="20"/>
              </w:rPr>
              <w:t>March 2021</w:t>
            </w:r>
          </w:p>
        </w:tc>
        <w:tc>
          <w:tcPr>
            <w:tcW w:w="1443" w:type="dxa"/>
          </w:tcPr>
          <w:p w:rsidR="00CF52DB" w:rsidRDefault="00D46A30">
            <w:pPr>
              <w:rPr>
                <w:rFonts w:ascii="Arial" w:eastAsia="Arial" w:hAnsi="Arial" w:cs="Arial"/>
                <w:color w:val="000000"/>
                <w:sz w:val="20"/>
                <w:szCs w:val="20"/>
              </w:rPr>
            </w:pPr>
            <w:r>
              <w:rPr>
                <w:rFonts w:ascii="Arial" w:eastAsia="Arial" w:hAnsi="Arial" w:cs="Arial"/>
                <w:color w:val="000000"/>
                <w:sz w:val="20"/>
                <w:szCs w:val="20"/>
              </w:rPr>
              <w:t>March 2024</w:t>
            </w:r>
          </w:p>
        </w:tc>
      </w:tr>
      <w:tr w:rsidR="00CF52DB">
        <w:trPr>
          <w:jc w:val="center"/>
        </w:trPr>
        <w:tc>
          <w:tcPr>
            <w:tcW w:w="1566" w:type="dxa"/>
          </w:tcPr>
          <w:p w:rsidR="00CF52DB" w:rsidRDefault="00D46A30">
            <w:pPr>
              <w:rPr>
                <w:rFonts w:ascii="Arial" w:eastAsia="Arial" w:hAnsi="Arial" w:cs="Arial"/>
                <w:sz w:val="17"/>
                <w:szCs w:val="17"/>
              </w:rPr>
            </w:pPr>
            <w:r>
              <w:rPr>
                <w:rFonts w:ascii="Arial" w:eastAsia="Arial" w:hAnsi="Arial" w:cs="Arial"/>
                <w:i/>
                <w:color w:val="0000FF"/>
                <w:sz w:val="17"/>
                <w:szCs w:val="17"/>
              </w:rPr>
              <w:t>&lt;&lt;insert any additional methods here&gt;&gt;</w:t>
            </w:r>
          </w:p>
        </w:tc>
        <w:tc>
          <w:tcPr>
            <w:tcW w:w="2372" w:type="dxa"/>
          </w:tcPr>
          <w:p w:rsidR="00CF52DB" w:rsidRDefault="00D46A30">
            <w:pPr>
              <w:rPr>
                <w:rFonts w:ascii="Arial" w:eastAsia="Arial" w:hAnsi="Arial" w:cs="Arial"/>
                <w:sz w:val="17"/>
                <w:szCs w:val="17"/>
              </w:rPr>
            </w:pPr>
            <w:r>
              <w:rPr>
                <w:color w:val="808080"/>
              </w:rPr>
              <w:t>Click here to enter text.</w:t>
            </w:r>
          </w:p>
        </w:tc>
        <w:tc>
          <w:tcPr>
            <w:tcW w:w="2525" w:type="dxa"/>
          </w:tcPr>
          <w:p w:rsidR="00CF52DB" w:rsidRDefault="00D46A30">
            <w:pPr>
              <w:rPr>
                <w:rFonts w:ascii="Arial" w:eastAsia="Arial" w:hAnsi="Arial" w:cs="Arial"/>
                <w:sz w:val="17"/>
                <w:szCs w:val="17"/>
              </w:rPr>
            </w:pPr>
            <w:r>
              <w:rPr>
                <w:color w:val="808080"/>
              </w:rPr>
              <w:t>Click here to enter text.</w:t>
            </w:r>
          </w:p>
        </w:tc>
        <w:tc>
          <w:tcPr>
            <w:tcW w:w="1250" w:type="dxa"/>
          </w:tcPr>
          <w:p w:rsidR="00CF52DB" w:rsidRDefault="00D46A30">
            <w:pPr>
              <w:rPr>
                <w:rFonts w:ascii="Arial" w:eastAsia="Arial" w:hAnsi="Arial" w:cs="Arial"/>
                <w:b/>
                <w:sz w:val="17"/>
                <w:szCs w:val="17"/>
              </w:rPr>
            </w:pPr>
            <w:r>
              <w:rPr>
                <w:color w:val="808080"/>
              </w:rPr>
              <w:t>Click here to enter text.</w:t>
            </w:r>
          </w:p>
        </w:tc>
        <w:tc>
          <w:tcPr>
            <w:tcW w:w="1226" w:type="dxa"/>
          </w:tcPr>
          <w:p w:rsidR="00CF52DB" w:rsidRDefault="00D46A30">
            <w:pPr>
              <w:rPr>
                <w:rFonts w:ascii="Arial" w:eastAsia="Arial" w:hAnsi="Arial" w:cs="Arial"/>
                <w:b/>
                <w:sz w:val="17"/>
                <w:szCs w:val="17"/>
              </w:rPr>
            </w:pPr>
            <w:r>
              <w:rPr>
                <w:color w:val="808080"/>
              </w:rPr>
              <w:t>Click here to enter text.</w:t>
            </w:r>
          </w:p>
        </w:tc>
        <w:tc>
          <w:tcPr>
            <w:tcW w:w="1443" w:type="dxa"/>
          </w:tcPr>
          <w:p w:rsidR="00CF52DB" w:rsidRDefault="00D46A30">
            <w:pPr>
              <w:rPr>
                <w:rFonts w:ascii="Arial" w:eastAsia="Arial" w:hAnsi="Arial" w:cs="Arial"/>
                <w:b/>
                <w:sz w:val="17"/>
                <w:szCs w:val="17"/>
              </w:rPr>
            </w:pPr>
            <w:r>
              <w:rPr>
                <w:color w:val="808080"/>
              </w:rPr>
              <w:t>Click here to enter text.</w:t>
            </w:r>
          </w:p>
        </w:tc>
      </w:tr>
    </w:tbl>
    <w:p w:rsidR="00CF52DB" w:rsidRDefault="00CF52DB"/>
    <w:p w:rsidR="00CF52DB" w:rsidRDefault="00CF52DB"/>
    <w:p w:rsidR="00C10DE1" w:rsidRDefault="00C10DE1"/>
    <w:tbl>
      <w:tblPr>
        <w:tblStyle w:val="a1"/>
        <w:tblW w:w="10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54"/>
        <w:gridCol w:w="3528"/>
      </w:tblGrid>
      <w:tr w:rsidR="00CF52DB">
        <w:trPr>
          <w:trHeight w:val="405"/>
          <w:jc w:val="center"/>
        </w:trPr>
        <w:tc>
          <w:tcPr>
            <w:tcW w:w="6854" w:type="dxa"/>
            <w:vMerge w:val="restart"/>
          </w:tcPr>
          <w:p w:rsidR="00CF52DB" w:rsidRDefault="00D46A30">
            <w:pPr>
              <w:rPr>
                <w:rFonts w:ascii="Arial" w:eastAsia="Arial" w:hAnsi="Arial" w:cs="Arial"/>
                <w:sz w:val="20"/>
                <w:szCs w:val="20"/>
              </w:rPr>
            </w:pPr>
            <w:r>
              <w:rPr>
                <w:rFonts w:ascii="Arial" w:eastAsia="Arial" w:hAnsi="Arial" w:cs="Arial"/>
                <w:sz w:val="20"/>
                <w:szCs w:val="20"/>
              </w:rPr>
              <w:lastRenderedPageBreak/>
              <w:t xml:space="preserve">PREPARED BY: </w:t>
            </w:r>
          </w:p>
          <w:p w:rsidR="00CF52DB" w:rsidRDefault="00D46A30">
            <w:pPr>
              <w:rPr>
                <w:rFonts w:ascii="Arial" w:eastAsia="Arial" w:hAnsi="Arial" w:cs="Arial"/>
                <w:color w:val="0000FF"/>
                <w:sz w:val="20"/>
                <w:szCs w:val="20"/>
              </w:rPr>
            </w:pPr>
            <w:r>
              <w:rPr>
                <w:rFonts w:ascii="Arial" w:eastAsia="Arial" w:hAnsi="Arial" w:cs="Arial"/>
                <w:color w:val="0000FF"/>
                <w:sz w:val="20"/>
                <w:szCs w:val="20"/>
              </w:rPr>
              <w:t>Energy Team Leader</w:t>
            </w:r>
          </w:p>
          <w:p w:rsidR="00CF52DB" w:rsidRDefault="00CF52DB">
            <w:pPr>
              <w:rPr>
                <w:rFonts w:ascii="Arial" w:eastAsia="Arial" w:hAnsi="Arial" w:cs="Arial"/>
                <w:sz w:val="20"/>
                <w:szCs w:val="20"/>
              </w:rPr>
            </w:pPr>
          </w:p>
        </w:tc>
        <w:tc>
          <w:tcPr>
            <w:tcW w:w="3528" w:type="dxa"/>
          </w:tcPr>
          <w:p w:rsidR="00CF52DB" w:rsidRDefault="00D46A30">
            <w:pPr>
              <w:rPr>
                <w:rFonts w:ascii="Arial" w:eastAsia="Arial" w:hAnsi="Arial" w:cs="Arial"/>
                <w:sz w:val="20"/>
                <w:szCs w:val="20"/>
              </w:rPr>
            </w:pPr>
            <w:r>
              <w:rPr>
                <w:rFonts w:ascii="Arial" w:eastAsia="Arial" w:hAnsi="Arial" w:cs="Arial"/>
                <w:sz w:val="20"/>
                <w:szCs w:val="20"/>
              </w:rPr>
              <w:t>DATE:</w:t>
            </w:r>
          </w:p>
          <w:p w:rsidR="00CF52DB" w:rsidRDefault="00D46A30">
            <w:pPr>
              <w:rPr>
                <w:rFonts w:ascii="Arial" w:eastAsia="Arial" w:hAnsi="Arial" w:cs="Arial"/>
                <w:sz w:val="20"/>
                <w:szCs w:val="20"/>
              </w:rPr>
            </w:pPr>
            <w:r>
              <w:rPr>
                <w:rFonts w:ascii="Arial" w:eastAsia="Arial" w:hAnsi="Arial" w:cs="Arial"/>
                <w:color w:val="0000FF"/>
                <w:sz w:val="20"/>
                <w:szCs w:val="20"/>
              </w:rPr>
              <w:t>5/13/2021</w:t>
            </w:r>
          </w:p>
        </w:tc>
      </w:tr>
      <w:tr w:rsidR="00CF52DB">
        <w:trPr>
          <w:trHeight w:val="405"/>
          <w:jc w:val="center"/>
        </w:trPr>
        <w:tc>
          <w:tcPr>
            <w:tcW w:w="6854" w:type="dxa"/>
            <w:vMerge/>
          </w:tcPr>
          <w:p w:rsidR="00CF52DB" w:rsidRDefault="00CF52DB">
            <w:pPr>
              <w:widowControl w:val="0"/>
              <w:pBdr>
                <w:top w:val="nil"/>
                <w:left w:val="nil"/>
                <w:bottom w:val="nil"/>
                <w:right w:val="nil"/>
                <w:between w:val="nil"/>
              </w:pBdr>
              <w:spacing w:after="0" w:line="276" w:lineRule="auto"/>
              <w:rPr>
                <w:rFonts w:ascii="Arial" w:eastAsia="Arial" w:hAnsi="Arial" w:cs="Arial"/>
                <w:sz w:val="20"/>
                <w:szCs w:val="20"/>
              </w:rPr>
            </w:pPr>
          </w:p>
        </w:tc>
        <w:tc>
          <w:tcPr>
            <w:tcW w:w="3528" w:type="dxa"/>
          </w:tcPr>
          <w:p w:rsidR="00CF52DB" w:rsidRDefault="00D46A30">
            <w:pPr>
              <w:rPr>
                <w:rFonts w:ascii="Arial" w:eastAsia="Arial" w:hAnsi="Arial" w:cs="Arial"/>
                <w:sz w:val="20"/>
                <w:szCs w:val="20"/>
              </w:rPr>
            </w:pPr>
            <w:r>
              <w:rPr>
                <w:rFonts w:ascii="Arial" w:eastAsia="Arial" w:hAnsi="Arial" w:cs="Arial"/>
                <w:sz w:val="20"/>
                <w:szCs w:val="20"/>
              </w:rPr>
              <w:t>UPDATED:</w:t>
            </w:r>
          </w:p>
          <w:p w:rsidR="00CF52DB" w:rsidRDefault="00D46A30">
            <w:pPr>
              <w:rPr>
                <w:rFonts w:ascii="Arial" w:eastAsia="Arial" w:hAnsi="Arial" w:cs="Arial"/>
                <w:sz w:val="20"/>
                <w:szCs w:val="20"/>
              </w:rPr>
            </w:pPr>
            <w:r>
              <w:rPr>
                <w:rFonts w:ascii="Arial" w:eastAsia="Arial" w:hAnsi="Arial" w:cs="Arial"/>
                <w:color w:val="0000FF"/>
                <w:sz w:val="20"/>
                <w:szCs w:val="20"/>
              </w:rPr>
              <w:t>7/22/2021</w:t>
            </w:r>
          </w:p>
        </w:tc>
      </w:tr>
    </w:tbl>
    <w:p w:rsidR="00CF52DB" w:rsidRDefault="00CF52DB">
      <w:pPr>
        <w:spacing w:after="0" w:line="240" w:lineRule="auto"/>
        <w:rPr>
          <w:rFonts w:ascii="Arial" w:eastAsia="Arial" w:hAnsi="Arial" w:cs="Arial"/>
          <w:color w:val="000000"/>
          <w:sz w:val="20"/>
          <w:szCs w:val="20"/>
          <w:u w:val="single"/>
        </w:rPr>
      </w:pPr>
    </w:p>
    <w:p w:rsidR="00CF52DB" w:rsidRDefault="00CF52DB">
      <w:pPr>
        <w:spacing w:line="240" w:lineRule="auto"/>
        <w:ind w:right="-720"/>
        <w:rPr>
          <w:rFonts w:ascii="Arial" w:eastAsia="Arial" w:hAnsi="Arial" w:cs="Arial"/>
          <w:color w:val="000000"/>
          <w:sz w:val="20"/>
          <w:szCs w:val="20"/>
          <w:u w:val="single"/>
        </w:rPr>
      </w:pPr>
    </w:p>
    <w:p w:rsidR="00CF52DB" w:rsidRDefault="00D46A30">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F52DB">
        <w:trPr>
          <w:trHeight w:val="179"/>
        </w:trPr>
        <w:tc>
          <w:tcPr>
            <w:tcW w:w="509" w:type="dxa"/>
            <w:vAlign w:val="center"/>
          </w:tcPr>
          <w:p w:rsidR="00CF52DB" w:rsidRDefault="00D46A30">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F52DB" w:rsidRDefault="00D46A30">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CF52DB" w:rsidRDefault="00D46A30">
            <w:pPr>
              <w:spacing w:before="50" w:after="50" w:line="240" w:lineRule="auto"/>
              <w:ind w:right="77"/>
              <w:rPr>
                <w:rFonts w:ascii="Arial" w:eastAsia="Arial" w:hAnsi="Arial" w:cs="Arial"/>
                <w:color w:val="000000"/>
                <w:sz w:val="20"/>
                <w:szCs w:val="20"/>
              </w:rPr>
            </w:pPr>
            <w:r>
              <w:rPr>
                <w:color w:val="808080"/>
              </w:rPr>
              <w:t>Click here to enter a date.</w:t>
            </w:r>
          </w:p>
        </w:tc>
      </w:tr>
      <w:tr w:rsidR="00CF52DB">
        <w:trPr>
          <w:trHeight w:val="242"/>
        </w:trPr>
        <w:tc>
          <w:tcPr>
            <w:tcW w:w="509" w:type="dxa"/>
            <w:vAlign w:val="center"/>
          </w:tcPr>
          <w:p w:rsidR="00CF52DB" w:rsidRDefault="00D46A30">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F52DB" w:rsidRDefault="00D46A30">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CF52DB" w:rsidRDefault="00D46A30">
            <w:pPr>
              <w:spacing w:before="50" w:after="50" w:line="240" w:lineRule="auto"/>
              <w:ind w:right="77"/>
              <w:rPr>
                <w:rFonts w:ascii="Arial" w:eastAsia="Arial" w:hAnsi="Arial" w:cs="Arial"/>
                <w:color w:val="000000"/>
                <w:sz w:val="20"/>
                <w:szCs w:val="20"/>
              </w:rPr>
            </w:pPr>
            <w:r>
              <w:rPr>
                <w:color w:val="808080"/>
              </w:rPr>
              <w:t>Click here to enter text.</w:t>
            </w:r>
          </w:p>
        </w:tc>
      </w:tr>
    </w:tbl>
    <w:p w:rsidR="00CF52DB" w:rsidRDefault="00CF52DB">
      <w:pPr>
        <w:spacing w:line="240" w:lineRule="auto"/>
        <w:ind w:right="-720"/>
        <w:rPr>
          <w:rFonts w:ascii="Arial" w:eastAsia="Arial" w:hAnsi="Arial" w:cs="Arial"/>
          <w:color w:val="000000"/>
          <w:sz w:val="20"/>
          <w:szCs w:val="20"/>
          <w:u w:val="single"/>
        </w:rPr>
      </w:pPr>
    </w:p>
    <w:p w:rsidR="00CF52DB" w:rsidRDefault="00D46A30">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CF52DB" w:rsidRDefault="00D46A30">
      <w:pPr>
        <w:spacing w:line="240" w:lineRule="auto"/>
        <w:ind w:left="-806"/>
        <w:rPr>
          <w:rFonts w:ascii="Arial" w:eastAsia="Arial" w:hAnsi="Arial" w:cs="Arial"/>
          <w:color w:val="000000"/>
          <w:sz w:val="20"/>
          <w:szCs w:val="20"/>
        </w:rPr>
      </w:pPr>
      <w:r>
        <w:rPr>
          <w:color w:val="808080"/>
        </w:rPr>
        <w:t>Click here to enter text.</w:t>
      </w:r>
    </w:p>
    <w:p w:rsidR="00CF52DB" w:rsidRDefault="00CF52DB">
      <w:pPr>
        <w:spacing w:line="240" w:lineRule="auto"/>
        <w:ind w:left="-806"/>
        <w:rPr>
          <w:rFonts w:ascii="Arial" w:eastAsia="Arial" w:hAnsi="Arial" w:cs="Arial"/>
          <w:color w:val="000000"/>
          <w:sz w:val="20"/>
          <w:szCs w:val="20"/>
        </w:rPr>
      </w:pPr>
    </w:p>
    <w:sectPr w:rsidR="00CF52DB">
      <w:headerReference w:type="default" r:id="rId14"/>
      <w:footerReference w:type="even" r:id="rId15"/>
      <w:footerReference w:type="default" r:id="rId16"/>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8C4" w:rsidRDefault="009868C4">
      <w:pPr>
        <w:spacing w:after="0" w:line="240" w:lineRule="auto"/>
      </w:pPr>
      <w:r>
        <w:separator/>
      </w:r>
    </w:p>
  </w:endnote>
  <w:endnote w:type="continuationSeparator" w:id="0">
    <w:p w:rsidR="009868C4" w:rsidRDefault="0098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DB" w:rsidRDefault="00D46A3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CF52DB" w:rsidRDefault="00CF52D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DB" w:rsidRDefault="00D46A30">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C10DE1">
      <w:rPr>
        <w:noProof/>
        <w:color w:val="000000"/>
      </w:rPr>
      <w:t>1</w:t>
    </w:r>
    <w:r>
      <w:rPr>
        <w:color w:val="000000"/>
      </w:rPr>
      <w:fldChar w:fldCharType="end"/>
    </w:r>
  </w:p>
  <w:p w:rsidR="00CF52DB" w:rsidRDefault="00D46A30">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-723899</wp:posOffset>
              </wp:positionH>
              <wp:positionV relativeFrom="paragraph">
                <wp:posOffset>419100</wp:posOffset>
              </wp:positionV>
              <wp:extent cx="4544949" cy="409575"/>
              <wp:effectExtent l="0" t="0" r="0" b="0"/>
              <wp:wrapNone/>
              <wp:docPr id="16" name="Rectangle 16"/>
              <wp:cNvGraphicFramePr/>
              <a:graphic xmlns:a="http://schemas.openxmlformats.org/drawingml/2006/main">
                <a:graphicData uri="http://schemas.microsoft.com/office/word/2010/wordprocessingShape">
                  <wps:wsp>
                    <wps:cNvSpPr/>
                    <wps:spPr>
                      <a:xfrm>
                        <a:off x="3078288" y="3579975"/>
                        <a:ext cx="4535424" cy="400050"/>
                      </a:xfrm>
                      <a:prstGeom prst="rect">
                        <a:avLst/>
                      </a:prstGeom>
                      <a:solidFill>
                        <a:schemeClr val="lt1"/>
                      </a:solidFill>
                      <a:ln>
                        <a:noFill/>
                      </a:ln>
                    </wps:spPr>
                    <wps:txbx>
                      <w:txbxContent>
                        <w:p w:rsidR="00CF52DB" w:rsidRDefault="00D46A30">
                          <w:pPr>
                            <w:spacing w:after="60" w:line="258" w:lineRule="auto"/>
                            <w:ind w:right="360"/>
                            <w:textDirection w:val="btLr"/>
                          </w:pPr>
                          <w:r>
                            <w:rPr>
                              <w:i/>
                              <w:color w:val="000000"/>
                              <w:sz w:val="17"/>
                            </w:rPr>
                            <w:t>©2019, The Regents of the University of California – PB.10.01.01</w:t>
                          </w:r>
                        </w:p>
                        <w:p w:rsidR="00CF52DB" w:rsidRDefault="00CF52D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7pt;margin-top:33pt;width:357.8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" fillcolor="white [3201]" stroked="f">
              <v:textbox inset="2.53958mm,1.2694mm,2.53958mm,1.2694mm">
                <w:txbxContent>
                  <w:p w:rsidR="00CF52DB" w:rsidRDefault="00D46A30">
                    <w:pPr>
                      <w:spacing w:after="60" w:line="258" w:lineRule="auto"/>
                      <w:ind w:right="360"/>
                      <w:textDirection w:val="btLr"/>
                    </w:pPr>
                    <w:r>
                      <w:rPr>
                        <w:i/>
                        <w:color w:val="000000"/>
                        <w:sz w:val="17"/>
                      </w:rPr>
                      <w:t>©2019, The Regents of the University of California – PB.10.01.01</w:t>
                    </w:r>
                  </w:p>
                  <w:p w:rsidR="00CF52DB" w:rsidRDefault="00CF52DB">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8C4" w:rsidRDefault="009868C4">
      <w:pPr>
        <w:spacing w:after="0" w:line="240" w:lineRule="auto"/>
      </w:pPr>
      <w:r>
        <w:separator/>
      </w:r>
    </w:p>
  </w:footnote>
  <w:footnote w:type="continuationSeparator" w:id="0">
    <w:p w:rsidR="009868C4" w:rsidRDefault="0098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DB" w:rsidRDefault="00D46A3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9" name="Rectangle 19"/>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CF52DB" w:rsidRDefault="00D46A30">
                          <w:pPr>
                            <w:spacing w:after="0" w:line="240" w:lineRule="auto"/>
                            <w:textDirection w:val="btLr"/>
                          </w:pPr>
                          <w:r>
                            <w:rPr>
                              <w:rFonts w:ascii="Arial" w:eastAsia="Arial" w:hAnsi="Arial" w:cs="Arial"/>
                              <w:color w:val="FFFFFF"/>
                              <w:sz w:val="36"/>
                            </w:rPr>
                            <w:t xml:space="preserve">Task 10: Improvement Opportunities </w:t>
                          </w:r>
                        </w:p>
                      </w:txbxContent>
                    </wps:txbx>
                    <wps:bodyPr spcFirstLastPara="1" wrap="square" lIns="91425" tIns="45700" rIns="91425" bIns="45700" anchor="ctr" anchorCtr="0">
                      <a:noAutofit/>
                    </wps:bodyPr>
                  </wps:wsp>
                </a:graphicData>
              </a:graphic>
            </wp:anchor>
          </w:drawing>
        </mc:Choice>
        <mc:Fallback>
          <w:pict>
            <v:rect id="Rectangle 19"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N46A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BtwsN46AEAAK0DAAAOAAAAAAAAAAAAAAAAAC4CAABkcnMvZTJvRG9j&#10;LnhtbFBLAQItABQABgAIAAAAIQD7KhUy4gAAAAwBAAAPAAAAAAAAAAAAAAAAAEIEAABkcnMvZG93&#10;bnJldi54bWxQSwUGAAAAAAQABADzAAAAUQUAAAAA&#10;" fillcolor="#4e5992" stroked="f">
              <v:textbox inset="2.53958mm,1.2694mm,2.53958mm,1.2694mm">
                <w:txbxContent>
                  <w:p w:rsidR="00CF52DB" w:rsidRDefault="00D46A30">
                    <w:pPr>
                      <w:spacing w:after="0" w:line="240" w:lineRule="auto"/>
                      <w:textDirection w:val="btLr"/>
                    </w:pPr>
                    <w:r>
                      <w:rPr>
                        <w:rFonts w:ascii="Arial" w:eastAsia="Arial" w:hAnsi="Arial" w:cs="Arial"/>
                        <w:color w:val="FFFFFF"/>
                        <w:sz w:val="36"/>
                      </w:rPr>
                      <w:t xml:space="preserve">Task 10: Improvement Opportunities </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CF52DB" w:rsidRDefault="00D46A30">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X7wEAALQ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5J7oGR0Hn3c0xHs55M3tYwKBHgjmCtqXI3I8rrGYffu&#10;/Zj1+rNt/wA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6cgk1+8BAAC0AwAADgAAAAAAAAAAAAAAAAAuAgAAZHJzL2Uy&#10;b0RvYy54bWxQSwECLQAUAAYACAAAACEAyoRGZ98AAAALAQAADwAAAAAAAAAAAAAAAABJBAAAZHJz&#10;L2Rvd25yZXYueG1sUEsFBgAAAAAEAAQA8wAAAFUFAAAAAA==&#10;" fillcolor="#00579d" stroked="f">
              <v:textbox inset="2.53958mm,1.2694mm,2.53958mm,1.2694mm">
                <w:txbxContent>
                  <w:p w:rsidR="00CF52DB" w:rsidRDefault="00D46A30">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CF52DB" w:rsidRDefault="00CF52D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C4rE5r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CF52DB" w:rsidRDefault="00CF52DB">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0094C"/>
    <w:multiLevelType w:val="hybridMultilevel"/>
    <w:tmpl w:val="F1E6C9C4"/>
    <w:lvl w:ilvl="0" w:tplc="F3D85002">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558A"/>
    <w:multiLevelType w:val="multilevel"/>
    <w:tmpl w:val="C042239E"/>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DB"/>
    <w:rsid w:val="000C2086"/>
    <w:rsid w:val="009868C4"/>
    <w:rsid w:val="00C10DE1"/>
    <w:rsid w:val="00CF52DB"/>
    <w:rsid w:val="00D4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7211"/>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5B71B7"/>
    <w:rPr>
      <w:color w:val="808080"/>
    </w:rPr>
  </w:style>
  <w:style w:type="paragraph" w:styleId="NoSpacing">
    <w:name w:val="No Spacing"/>
    <w:uiPriority w:val="1"/>
    <w:qFormat/>
    <w:rsid w:val="004F1866"/>
  </w:style>
  <w:style w:type="character" w:customStyle="1" w:styleId="TitleChar">
    <w:name w:val="Title Char"/>
    <w:basedOn w:val="DefaultParagraphFont"/>
    <w:link w:val="Title"/>
    <w:uiPriority w:val="10"/>
    <w:rsid w:val="00EC7211"/>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EC7211"/>
    <w:rPr>
      <w:color w:val="0563C1" w:themeColor="hyperlink"/>
      <w:u w:val="single"/>
    </w:rPr>
  </w:style>
  <w:style w:type="character" w:styleId="CommentReference">
    <w:name w:val="annotation reference"/>
    <w:basedOn w:val="DefaultParagraphFont"/>
    <w:uiPriority w:val="99"/>
    <w:semiHidden/>
    <w:unhideWhenUsed/>
    <w:rsid w:val="00ED7CCD"/>
    <w:rPr>
      <w:sz w:val="16"/>
      <w:szCs w:val="16"/>
    </w:rPr>
  </w:style>
  <w:style w:type="paragraph" w:styleId="CommentText">
    <w:name w:val="annotation text"/>
    <w:basedOn w:val="Normal"/>
    <w:link w:val="CommentTextChar"/>
    <w:uiPriority w:val="99"/>
    <w:semiHidden/>
    <w:unhideWhenUsed/>
    <w:rsid w:val="00ED7CCD"/>
    <w:pPr>
      <w:spacing w:line="240" w:lineRule="auto"/>
    </w:pPr>
    <w:rPr>
      <w:sz w:val="20"/>
      <w:szCs w:val="20"/>
    </w:rPr>
  </w:style>
  <w:style w:type="character" w:customStyle="1" w:styleId="CommentTextChar">
    <w:name w:val="Comment Text Char"/>
    <w:basedOn w:val="DefaultParagraphFont"/>
    <w:link w:val="CommentText"/>
    <w:uiPriority w:val="99"/>
    <w:semiHidden/>
    <w:rsid w:val="00ED7CCD"/>
    <w:rPr>
      <w:sz w:val="20"/>
      <w:szCs w:val="20"/>
    </w:rPr>
  </w:style>
  <w:style w:type="paragraph" w:styleId="CommentSubject">
    <w:name w:val="annotation subject"/>
    <w:basedOn w:val="CommentText"/>
    <w:next w:val="CommentText"/>
    <w:link w:val="CommentSubjectChar"/>
    <w:uiPriority w:val="99"/>
    <w:semiHidden/>
    <w:unhideWhenUsed/>
    <w:rsid w:val="00ED7CCD"/>
    <w:rPr>
      <w:b/>
      <w:bCs/>
    </w:rPr>
  </w:style>
  <w:style w:type="character" w:customStyle="1" w:styleId="CommentSubjectChar">
    <w:name w:val="Comment Subject Char"/>
    <w:basedOn w:val="CommentTextChar"/>
    <w:link w:val="CommentSubject"/>
    <w:uiPriority w:val="99"/>
    <w:semiHidden/>
    <w:rsid w:val="00ED7CCD"/>
    <w:rPr>
      <w:b/>
      <w:bCs/>
      <w:sz w:val="20"/>
      <w:szCs w:val="20"/>
    </w:rPr>
  </w:style>
  <w:style w:type="character" w:styleId="UnresolvedMention">
    <w:name w:val="Unresolved Mention"/>
    <w:basedOn w:val="DefaultParagraphFont"/>
    <w:uiPriority w:val="99"/>
    <w:semiHidden/>
    <w:unhideWhenUsed/>
    <w:rsid w:val="00D07F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pa.gov/lean/environment/toolkits/energy/" TargetMode="External"/><Relationship Id="rId13" Type="http://schemas.openxmlformats.org/officeDocument/2006/relationships/hyperlink" Target="https://www.energystar.gov/buildings/tools-and-resources/building-upgrade-manu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gov/eere/amo/industrial-assistance-and-projects-datab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ustrial-energy.lbl.gov/node/1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a.gov/lean/environment/toolkits/energy/%23E" TargetMode="External"/><Relationship Id="rId4" Type="http://schemas.openxmlformats.org/officeDocument/2006/relationships/settings" Target="settings.xml"/><Relationship Id="rId9" Type="http://schemas.openxmlformats.org/officeDocument/2006/relationships/hyperlink" Target="http://www.epa.gov/lean/environment/toolkits/energy/%23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8EEyJF46UdYcLoDe59yYkZWLGQ==">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956</Words>
  <Characters>5452</Characters>
  <Application>Microsoft Office Word</Application>
  <DocSecurity>0</DocSecurity>
  <Lines>45</Lines>
  <Paragraphs>12</Paragraphs>
  <ScaleCrop>false</ScaleCrop>
  <Company>Lawrence Berkeley National Laboratory</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3</cp:revision>
  <dcterms:created xsi:type="dcterms:W3CDTF">2021-09-30T14:28:00Z</dcterms:created>
  <dcterms:modified xsi:type="dcterms:W3CDTF">2022-04-20T23:34:00Z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