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900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Date last modified/updated: </w:t>
      </w:r>
      <w:r w:rsidDel="00000000" w:rsidR="00000000" w:rsidRPr="00000000">
        <w:rPr>
          <w:color w:val="000000"/>
          <w:rtl w:val="0"/>
        </w:rPr>
        <w:t xml:space="preserve">Click here to enter a date.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          Internal audit: </w:t>
      </w:r>
      <w:r w:rsidDel="00000000" w:rsidR="00000000" w:rsidRPr="00000000">
        <w:rPr>
          <w:color w:val="00000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15200" cy="4445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697925" y="3567275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-76199</wp:posOffset>
                </wp:positionV>
                <wp:extent cx="7315200" cy="44450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ind w:left="-900" w:firstLine="0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Who last modified/updated: </w:t>
      </w:r>
      <w:r w:rsidDel="00000000" w:rsidR="00000000" w:rsidRPr="00000000">
        <w:rPr>
          <w:color w:val="000000"/>
          <w:rtl w:val="0"/>
        </w:rPr>
        <w:t xml:space="preserve">Click here to enter text.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               Management review: </w:t>
      </w:r>
      <w:r w:rsidDel="00000000" w:rsidR="00000000" w:rsidRPr="00000000">
        <w:rPr>
          <w:color w:val="000000"/>
          <w:rtl w:val="0"/>
        </w:rPr>
        <w:t xml:space="preserve">Click here to enter a date.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139700</wp:posOffset>
                </wp:positionV>
                <wp:extent cx="7306310" cy="12001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697608" y="3184688"/>
                          <a:ext cx="7296785" cy="1190625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9.000000953674316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3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This part of the Navigator Playbook is completed when you have: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3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Identified the risks and opportunities pertaining to the ability of your EnMS to achieve its intended outcomes.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3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For each of the identified risks and opportunities, planned and implemented actions to address them using the processes of the EnMS and record this information.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3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Planned for how the actions taken will be evaluated for effectiveness. Performed an effectiveness evaluation.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720" w:right="3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720" w:right="3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139700</wp:posOffset>
                </wp:positionV>
                <wp:extent cx="7306310" cy="120015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6310" cy="1200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before="240" w:line="240" w:lineRule="auto"/>
        <w:ind w:left="-8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ind w:left="-8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40" w:lineRule="auto"/>
        <w:ind w:left="-8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40" w:lineRule="auto"/>
        <w:ind w:left="-8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Identify the risks and opportunities pertaining to the ability of your EnMS to achieve its intended outcomes.</w:t>
      </w:r>
    </w:p>
    <w:tbl>
      <w:tblPr>
        <w:tblStyle w:val="Table1"/>
        <w:tblW w:w="104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4801"/>
        <w:gridCol w:w="5175"/>
        <w:tblGridChange w:id="0">
          <w:tblGrid>
            <w:gridCol w:w="509"/>
            <w:gridCol w:w="4801"/>
            <w:gridCol w:w="5175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decided on a means or method to determine what are and are not strategic business risks and opportunities that need to be addressed.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50" w:before="50" w:line="240" w:lineRule="auto"/>
              <w:ind w:right="33"/>
              <w:rPr>
                <w:rFonts w:ascii="Arial" w:cs="Arial" w:eastAsia="Arial" w:hAnsi="Arial"/>
                <w:color w:val="3333ff"/>
                <w:sz w:val="20"/>
                <w:szCs w:val="20"/>
              </w:rPr>
            </w:pPr>
            <w:r w:rsidDel="00000000" w:rsidR="00000000" w:rsidRPr="00000000">
              <w:rPr>
                <w:color w:val="3333ff"/>
                <w:rtl w:val="0"/>
              </w:rPr>
              <w:t xml:space="preserve">We review and update risks and opportunities annually at Energy Team meetings, and whenever significant risks or opportunities present themselves.  The Risks and Opportunity Register in the Playbook for Task 1 is our primary means of documenting these methods.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identified the risks and opportunities and listed them in the Task 1 Worksheet.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50" w:before="50" w:line="240" w:lineRule="auto"/>
              <w:ind w:right="33"/>
              <w:rPr>
                <w:color w:val="3333ff"/>
              </w:rPr>
            </w:pPr>
            <w:r w:rsidDel="00000000" w:rsidR="00000000" w:rsidRPr="00000000">
              <w:rPr>
                <w:color w:val="3333ff"/>
                <w:rtl w:val="0"/>
              </w:rPr>
              <w:t xml:space="preserve">The risks and opportunities are listed in the Risks and Opportunity Register table in the Playbook for Task 1, and as a part of Task 7, we have completed the “Outputs for Task 7” columns of that table.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reviewed the identified risks and opportunities with top management.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50" w:before="50" w:line="240" w:lineRule="auto"/>
              <w:ind w:right="33"/>
              <w:rPr>
                <w:color w:val="3333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Yes; repeated at Management Review, as needed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For each of the identified risks and opportunities, plan and implement actions to address them using the processes of the EnMS and record this information.</w:t>
      </w:r>
    </w:p>
    <w:tbl>
      <w:tblPr>
        <w:tblStyle w:val="Table2"/>
        <w:tblW w:w="104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4801"/>
        <w:gridCol w:w="5175"/>
        <w:tblGridChange w:id="0">
          <w:tblGrid>
            <w:gridCol w:w="509"/>
            <w:gridCol w:w="4801"/>
            <w:gridCol w:w="5175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plans to manage the identified risks and opportunities.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50" w:before="50" w:line="240" w:lineRule="auto"/>
              <w:ind w:right="33"/>
              <w:rPr>
                <w:color w:val="3333ff"/>
              </w:rPr>
            </w:pPr>
            <w:r w:rsidDel="00000000" w:rsidR="00000000" w:rsidRPr="00000000">
              <w:rPr>
                <w:color w:val="3333ff"/>
                <w:rtl w:val="0"/>
              </w:rPr>
              <w:t xml:space="preserve">Actions are outlined in the Task 1 playbook</w:t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implemented the actions needed to address the risks and opportunities listed in the Task 1 Worksheet.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50" w:before="50" w:line="240" w:lineRule="auto"/>
              <w:ind w:right="33"/>
              <w:rPr>
                <w:rFonts w:ascii="Arial" w:cs="Arial" w:eastAsia="Arial" w:hAnsi="Arial"/>
                <w:color w:val="3333ff"/>
                <w:sz w:val="20"/>
                <w:szCs w:val="20"/>
              </w:rPr>
            </w:pPr>
            <w:r w:rsidDel="00000000" w:rsidR="00000000" w:rsidRPr="00000000">
              <w:rPr>
                <w:color w:val="3333ff"/>
                <w:rtl w:val="0"/>
              </w:rPr>
              <w:t xml:space="preserve">Completed with ongoing review on monthly basis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-450" w:hanging="360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Plan for how the actions taken will be evaluated for effectiveness. Perform an effectiveness evaluation.</w:t>
      </w:r>
    </w:p>
    <w:tbl>
      <w:tblPr>
        <w:tblStyle w:val="Table3"/>
        <w:tblW w:w="10485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4981"/>
        <w:gridCol w:w="4995"/>
        <w:tblGridChange w:id="0">
          <w:tblGrid>
            <w:gridCol w:w="509"/>
            <w:gridCol w:w="4981"/>
            <w:gridCol w:w="4995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☒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developed a process to evaluate the effectiveness of the actions taken to manage the risks and opportunities listed in the Task 1 Worksheet.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50" w:before="50" w:line="240" w:lineRule="auto"/>
              <w:ind w:right="33"/>
              <w:rPr/>
            </w:pPr>
            <w:r w:rsidDel="00000000" w:rsidR="00000000" w:rsidRPr="00000000">
              <w:rPr>
                <w:color w:val="3333ff"/>
                <w:rtl w:val="0"/>
              </w:rPr>
              <w:t xml:space="preserve">Process developed with ongoing review on a quarterly basis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ind w:left="-810" w:right="-720" w:firstLine="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-810" w:right="-720" w:firstLine="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Top Management Approval</w:t>
      </w:r>
    </w:p>
    <w:tbl>
      <w:tblPr>
        <w:tblStyle w:val="Table4"/>
        <w:tblW w:w="1071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9"/>
        <w:gridCol w:w="2101"/>
        <w:gridCol w:w="8100"/>
        <w:tblGridChange w:id="0">
          <w:tblGrid>
            <w:gridCol w:w="509"/>
            <w:gridCol w:w="2101"/>
            <w:gridCol w:w="8100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E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50" w:before="50" w:line="240" w:lineRule="auto"/>
              <w:ind w:right="-2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 approved: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50" w:before="50" w:line="240" w:lineRule="auto"/>
              <w:ind w:right="16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Align w:val="center"/>
          </w:tcPr>
          <w:bookmarkStart w:colFirst="0" w:colLast="0" w:name="bookmark=id.30j0zll" w:id="1"/>
          <w:bookmarkEnd w:id="1"/>
          <w:p w:rsidR="00000000" w:rsidDel="00000000" w:rsidP="00000000" w:rsidRDefault="00000000" w:rsidRPr="00000000" w14:paraId="00000021">
            <w:pPr>
              <w:spacing w:after="50" w:before="50" w:line="240" w:lineRule="auto"/>
              <w:ind w:right="-72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50" w:before="50" w:line="240" w:lineRule="auto"/>
              <w:ind w:right="-22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Who approved: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50" w:before="50" w:line="240" w:lineRule="auto"/>
              <w:ind w:right="167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-810" w:right="-720" w:firstLine="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6">
      <w:pPr>
        <w:spacing w:line="240" w:lineRule="auto"/>
        <w:ind w:left="-8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color w:val="00000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90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-810" w:right="-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5840" w:w="12240" w:orient="portrait"/>
      <w:pgMar w:bottom="1037" w:top="208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-654048</wp:posOffset>
          </wp:positionH>
          <wp:positionV relativeFrom="paragraph">
            <wp:posOffset>101600</wp:posOffset>
          </wp:positionV>
          <wp:extent cx="1107959" cy="319747"/>
          <wp:effectExtent b="0" l="0" r="0" t="0"/>
          <wp:wrapSquare wrapText="bothSides" distB="0" distT="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406400</wp:posOffset>
              </wp:positionV>
              <wp:extent cx="4499610" cy="4191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105720" y="3579975"/>
                        <a:ext cx="4480560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60" w:before="0" w:line="258.0000114440918"/>
                            <w:ind w:left="0" w:right="36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©2019, The Regents of the University of California – PB.07.01.01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-749299</wp:posOffset>
              </wp:positionH>
              <wp:positionV relativeFrom="paragraph">
                <wp:posOffset>406400</wp:posOffset>
              </wp:positionV>
              <wp:extent cx="4499610" cy="41910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961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-654048</wp:posOffset>
          </wp:positionH>
          <wp:positionV relativeFrom="paragraph">
            <wp:posOffset>-231138</wp:posOffset>
          </wp:positionV>
          <wp:extent cx="2637155" cy="632460"/>
          <wp:effectExtent b="0" l="0" r="0" t="0"/>
          <wp:wrapSquare wrapText="bothSides" distB="0" distT="0" distL="114300" distR="114300"/>
          <wp:docPr id="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393700</wp:posOffset>
              </wp:positionV>
              <wp:extent cx="7315200" cy="379095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97925" y="3599978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36"/>
                              <w:vertAlign w:val="baseline"/>
                            </w:rPr>
                            <w:t xml:space="preserve">Task 7: Risks to EnMS Success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393700</wp:posOffset>
              </wp:positionV>
              <wp:extent cx="7315200" cy="379095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0" cy="3790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-228599</wp:posOffset>
              </wp:positionV>
              <wp:extent cx="4615285" cy="66548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047883" y="3456785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50001 Ready Navigator Playbook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2019300</wp:posOffset>
              </wp:positionH>
              <wp:positionV relativeFrom="paragraph">
                <wp:posOffset>-228599</wp:posOffset>
              </wp:positionV>
              <wp:extent cx="4615285" cy="66548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5285" cy="665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787400</wp:posOffset>
              </wp:positionV>
              <wp:extent cx="7303770" cy="8107680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706815" y="0"/>
                        <a:ext cx="7278370" cy="7560000"/>
                      </a:xfrm>
                      <a:prstGeom prst="roundRect">
                        <a:avLst>
                          <a:gd fmla="val 989" name="adj"/>
                        </a:avLst>
                      </a:prstGeom>
                      <a:noFill/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787400</wp:posOffset>
              </wp:positionV>
              <wp:extent cx="7303770" cy="8107680"/>
              <wp:effectExtent b="0" l="0" r="0" t="0"/>
              <wp:wrapNone/>
              <wp:docPr id="2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3770" cy="8107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4" w:hanging="360"/>
      </w:pPr>
      <w:rPr/>
    </w:lvl>
    <w:lvl w:ilvl="1">
      <w:start w:val="1"/>
      <w:numFmt w:val="lowerLetter"/>
      <w:lvlText w:val="%2."/>
      <w:lvlJc w:val="left"/>
      <w:pPr>
        <w:ind w:left="994" w:hanging="360"/>
      </w:pPr>
      <w:rPr/>
    </w:lvl>
    <w:lvl w:ilvl="2">
      <w:start w:val="1"/>
      <w:numFmt w:val="lowerRoman"/>
      <w:lvlText w:val="%3."/>
      <w:lvlJc w:val="right"/>
      <w:pPr>
        <w:ind w:left="1714" w:hanging="180"/>
      </w:pPr>
      <w:rPr/>
    </w:lvl>
    <w:lvl w:ilvl="3">
      <w:start w:val="1"/>
      <w:numFmt w:val="decimal"/>
      <w:lvlText w:val="%4."/>
      <w:lvlJc w:val="left"/>
      <w:pPr>
        <w:ind w:left="2434" w:hanging="360"/>
      </w:pPr>
      <w:rPr/>
    </w:lvl>
    <w:lvl w:ilvl="4">
      <w:start w:val="1"/>
      <w:numFmt w:val="lowerLetter"/>
      <w:lvlText w:val="%5."/>
      <w:lvlJc w:val="left"/>
      <w:pPr>
        <w:ind w:left="3154" w:hanging="360"/>
      </w:pPr>
      <w:rPr/>
    </w:lvl>
    <w:lvl w:ilvl="5">
      <w:start w:val="1"/>
      <w:numFmt w:val="lowerRoman"/>
      <w:lvlText w:val="%6."/>
      <w:lvlJc w:val="right"/>
      <w:pPr>
        <w:ind w:left="3874" w:hanging="180"/>
      </w:pPr>
      <w:rPr/>
    </w:lvl>
    <w:lvl w:ilvl="6">
      <w:start w:val="1"/>
      <w:numFmt w:val="decimal"/>
      <w:lvlText w:val="%7."/>
      <w:lvlJc w:val="left"/>
      <w:pPr>
        <w:ind w:left="4594" w:hanging="360"/>
      </w:pPr>
      <w:rPr/>
    </w:lvl>
    <w:lvl w:ilvl="7">
      <w:start w:val="1"/>
      <w:numFmt w:val="lowerLetter"/>
      <w:lvlText w:val="%8."/>
      <w:lvlJc w:val="left"/>
      <w:pPr>
        <w:ind w:left="5314" w:hanging="360"/>
      </w:pPr>
      <w:rPr/>
    </w:lvl>
    <w:lvl w:ilvl="8">
      <w:start w:val="1"/>
      <w:numFmt w:val="lowerRoman"/>
      <w:lvlText w:val="%9."/>
      <w:lvlJc w:val="right"/>
      <w:pPr>
        <w:ind w:left="603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3EDC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EF3ED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 w:val="1"/>
    <w:rsid w:val="00EF3ED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 w:val="1"/>
    <w:unhideWhenUsed w:val="1"/>
    <w:rsid w:val="00EF3EDC"/>
  </w:style>
  <w:style w:type="paragraph" w:styleId="ListParagraph">
    <w:name w:val="List Paragraph"/>
    <w:basedOn w:val="Normal"/>
    <w:uiPriority w:val="34"/>
    <w:qFormat w:val="1"/>
    <w:rsid w:val="00EF3EDC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EF3ED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0E1BE3"/>
    <w:rPr>
      <w:color w:val="80808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54D7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54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54D7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54D7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4D7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4D7E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8177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8177C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1Wcp3YVkx9SwYlKN56qDOVCeng==">CgMxLjAyCWlkLmdqZGd4czIKaWQuMzBqMHpsbDgAciExRTgxNlRJVWFEQnVaTm9qb043OXMwLTFPRXVIZjFGZWc=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2021-09-28T20:49:00Z</dcterms:created>
  <dc:creator>Arian Aghajanzadeh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0x01010058BD1F53E8CE0449AD6DB0F97A3D1795</vt:lpwstr>
  </property>
  <property fmtid="{D5CDD505-2E9C-101B-9397-08002B2CF9AE}" pid="3" name="ContentTypeId">
    <vt:lpwstr>0x01010058BD1F53E8CE0449AD6DB0F97A3D1795</vt:lpwstr>
  </property>
</Properties>
</file>